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4240530</wp:posOffset>
            </wp:positionH>
            <wp:positionV relativeFrom="paragraph">
              <wp:posOffset>1085215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6092825</wp:posOffset>
                </wp:positionH>
                <wp:positionV relativeFrom="paragraph">
                  <wp:posOffset>1416685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303335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303335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9.75pt;margin-top:111.55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303335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303335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431800" distB="0" distL="114300" distR="3162935" simplePos="0" relativeHeight="125829381" behindDoc="0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4734560</wp:posOffset>
                </wp:positionV>
                <wp:extent cx="1354455" cy="17735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4455" cy="1773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1.799999999999997pt;margin-top:372.80000000000001pt;width:106.65000000000001pt;height:139.65000000000001pt;z-index:-125829372;mso-wrap-distance-left:9.pt;mso-wrap-distance-top:34.pt;mso-wrap-distance-right:249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3240" distB="1493520" distL="3101340" distR="139700" simplePos="0" relativeHeight="125829383" behindDoc="0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4826000</wp:posOffset>
                </wp:positionV>
                <wp:extent cx="1390650" cy="1885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065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7.pt;margin-top:380.pt;width:109.5pt;height:14.85pt;z-index:-125829370;mso-wrap-distance-left:244.20000000000002pt;mso-wrap-distance-top:41.200000000000003pt;mso-wrap-distance-right:11.pt;mso-wrap-distance-bottom:117.6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50925" distB="963930" distL="3133090" distR="169545" simplePos="0" relativeHeight="125829385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5353685</wp:posOffset>
                </wp:positionV>
                <wp:extent cx="1329055" cy="19050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9055" cy="190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9.5pt;margin-top:421.55000000000001pt;width:104.65000000000001pt;height:15.pt;z-index:-125829368;mso-wrap-distance-left:246.70000000000002pt;mso-wrap-distance-top:82.75pt;mso-wrap-distance-right:13.35pt;mso-wrap-distance-bottom:75.9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63700" distB="3810" distL="3081655" distR="113665" simplePos="0" relativeHeight="125829387" behindDoc="0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5966460</wp:posOffset>
                </wp:positionV>
                <wp:extent cx="1436370" cy="53784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5378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5.44999999999999pt;margin-top:469.80000000000001pt;width:113.10000000000001pt;height:42.350000000000001pt;z-index:-125829366;mso-wrap-distance-left:242.65000000000001pt;mso-wrap-distance-top:131.pt;mso-wrap-distance-right:8.9500000000000011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400"/>
        <w:jc w:val="left"/>
      </w:pPr>
      <w:r>
        <w:rPr>
          <w:rStyle w:val="CharStyle11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680" w:right="0" w:firstLine="0"/>
        <w:jc w:val="left"/>
      </w:pPr>
      <w:r>
        <w:rPr>
          <w:rStyle w:val="CharStyle11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60" w:right="0" w:firstLine="0"/>
        <w:jc w:val="left"/>
      </w:pPr>
      <w:r>
        <w:rPr>
          <w:rStyle w:val="CharStyle3"/>
          <w:color w:val="303335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303335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0" w:line="240" w:lineRule="auto"/>
        <w:ind w:left="1520" w:right="0" w:firstLine="0"/>
        <w:jc w:val="left"/>
      </w:pPr>
      <w:r>
        <w:rPr>
          <w:rStyle w:val="CharStyle3"/>
          <w:color w:val="303335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«ГОСУДАРСТВЕННЫЕ И МУНИЦИПАЛЬНЫЕ ФИНАНСЫ»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</w:rPr>
        <w:t>Москва 2024 г.</w:t>
      </w: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rStyle w:val="CharStyle16"/>
                <w:rFonts w:ascii="Arial" w:eastAsia="Arial" w:hAnsi="Arial" w:cs="Arial"/>
                <w:color w:val="0051B5"/>
                <w:sz w:val="26"/>
                <w:szCs w:val="26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800" w:line="240" w:lineRule="auto"/>
        <w:ind w:left="82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8724900</wp:posOffset>
                </wp:positionV>
                <wp:extent cx="483870" cy="14668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38.55000000000001pt;margin-top:687.pt;width:38.100000000000001pt;height:11.550000000000001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Рабочая программа по дисциплине «Государственные и муниципальные финансы»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9"/>
        </w:rPr>
        <w:t>Контур Крипто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880" w:right="0" w:firstLine="0"/>
        <w:jc w:val="left"/>
        <w:sectPr>
          <w:footerReference w:type="defaul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849" w:right="649" w:bottom="950" w:left="749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7"/>
        </w:rPr>
        <w:t>серийный номер срок действия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144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883" w:val="left"/>
        </w:tabs>
        <w:bidi w:val="0"/>
        <w:spacing w:before="0" w:after="0" w:line="240" w:lineRule="auto"/>
        <w:ind w:left="144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70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сформировать у студентов систему современных базовых знаний по теории государственных и муниципальных финансов, умений, навыков и компетенций, необходимых в ходе управления финансовыми ресурсами органов государственной власти и органов местного самоуправления.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700"/>
        <w:jc w:val="both"/>
      </w:pPr>
      <w:r>
        <w:rPr>
          <w:rStyle w:val="CharStyle3"/>
        </w:rPr>
        <w:t>изучить теоретические основы государственных и муниципальных финансов, формы организации финансовых ресурсов органов государственной власти и органов местного самоуправления, особенности формирования бюджетов бюджетной системы РФ, вопросы бюджетного устройства и бюджетного процесса в РФ, бюджетные права федеральных, региональных и местных органов власти, инструменты управления государственным и муниципальным долгом;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700"/>
        <w:jc w:val="both"/>
      </w:pPr>
      <w:r>
        <w:rPr>
          <w:rStyle w:val="CharStyle3"/>
        </w:rPr>
        <w:t>дать комплексное понятие о системе государственных и муниципальных финансов как элементе социально-экономической системы в современных условиях;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700"/>
        <w:jc w:val="both"/>
      </w:pPr>
      <w:r>
        <w:rPr>
          <w:rStyle w:val="CharStyle3"/>
        </w:rPr>
        <w:t>раскрыть основы построения системы государственных и муниципальных финансов в современном государстве;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740" w:right="0" w:firstLine="700"/>
        <w:jc w:val="both"/>
      </w:pPr>
      <w:r>
        <w:rPr>
          <w:rStyle w:val="CharStyle3"/>
        </w:rPr>
        <w:t>приобрести умения и навыки анализа механизма формирования и использования государственных и муниципальных финансовых ресурсов, оценки его эффективности.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914" w:val="left"/>
        </w:tabs>
        <w:bidi w:val="0"/>
        <w:spacing w:before="0" w:after="0" w:line="240" w:lineRule="auto"/>
        <w:ind w:left="740" w:right="0" w:firstLine="70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700"/>
        <w:jc w:val="both"/>
      </w:pPr>
      <w:r>
        <w:rPr>
          <w:rStyle w:val="CharStyle3"/>
        </w:rPr>
        <w:t>Дисциплина «Государственные и муниципальные финансы»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4 семестре на очной форме обучения и в 5 семестре на очно</w:t>
        <w:softHyphen/>
        <w:t>заочной форме обучения.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700"/>
        <w:jc w:val="both"/>
      </w:pPr>
      <w:r>
        <w:rPr>
          <w:rStyle w:val="CharStyle3"/>
        </w:rPr>
        <w:t>Дисциплина изучается параллельно с дисциплинами «Математические методы исследования операций», «Противодействие коррупции»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740" w:right="0" w:firstLine="70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740" w:right="0" w:firstLine="70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4"/>
        </w:rPr>
        <w:t>Процесс освоения дисциплины «Государственные и муниципальные финансы» направлен на формирование следующих компетенций:</w:t>
      </w:r>
    </w:p>
    <w:tbl>
      <w:tblPr>
        <w:tblOverlap w:val="never"/>
        <w:jc w:val="center"/>
        <w:tblLayout w:type="fixed"/>
      </w:tblPr>
      <w:tblGrid>
        <w:gridCol w:w="469"/>
        <w:gridCol w:w="925"/>
        <w:gridCol w:w="8190"/>
      </w:tblGrid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Содержание компетенции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ОПК-1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ПК-2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</w:rPr>
              <w:t>Способен провести анализ и дать оценку существующих финансово</w:t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>
      <w:pPr>
        <w:widowControl w:val="0"/>
        <w:spacing w:after="12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023110" cy="182245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822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0.350000000000001pt;margin-top:1.pt;width:159.30000000000001pt;height:14.35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7"/>
        </w:rPr>
        <w:t>владелец</w:t>
        <w:tab/>
        <w:t>ОЧУ ВО "ММА"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000" w:right="0" w:firstLine="0"/>
        <w:jc w:val="both"/>
      </w:pPr>
      <w:r>
        <w:rPr>
          <w:rStyle w:val="CharStyle7"/>
        </w:rPr>
        <w:t>Терентий Ливиу Михайлович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rStyle w:val="CharStyle3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2399"/>
        <w:gridCol w:w="2386"/>
        <w:gridCol w:w="2405"/>
        <w:gridCol w:w="2393"/>
      </w:tblGrid>
      <w:tr>
        <w:trPr>
          <w:trHeight w:val="1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Код (ы) и наименование (-ия)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>
        <w:trPr>
          <w:trHeight w:val="41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Знания в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профессиональной сфере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ОПК-1. 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ИОПК-1.1. - Знает на промежуточном уровне основные понятия экономической теории при решении прикладных задач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ИОПК -1.2 Умеет применять аналитический инструментарий для постановки и решения прикладных задач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ИОПК -1.3 Владеет навыками проведения системного анализа и ее составляющих для постановки и решения прикладных задач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6"/>
                <w:sz w:val="20"/>
                <w:szCs w:val="20"/>
              </w:rPr>
              <w:t>Знать на промежуточном уровне основные понятия экономической теории при решении прикладных задач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6"/>
                <w:sz w:val="20"/>
                <w:szCs w:val="20"/>
              </w:rPr>
              <w:t>Уметь применять аналитический инструментарий для постановки и решения прикладных задач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CharStyle16"/>
                <w:sz w:val="20"/>
                <w:szCs w:val="20"/>
              </w:rPr>
              <w:t>Владеть навыками проведения системного анализа и ее составляющих для постановки и решения прикладных задач</w:t>
            </w:r>
          </w:p>
        </w:tc>
      </w:tr>
      <w:tr>
        <w:trPr>
          <w:trHeight w:val="50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815" w:val="left"/>
                <w:tab w:pos="20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поведение хозяйствующих агентов, их затраты и результаты, функционирующие рынки,</w:t>
              <w:tab/>
              <w:t>финансовые</w:t>
              <w:tab/>
              <w:t>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950" w:val="left"/>
                <w:tab w:pos="20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ПК-2. Способен провести анализ и дать оценку существующих финансово-экономических рисков,</w:t>
              <w:tab/>
              <w:t>составить</w:t>
              <w:tab/>
              <w:t>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5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обосновать</w:t>
              <w:tab/>
              <w:t>прогноз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3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динамики</w:t>
              <w:tab/>
              <w:t>основных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финансово-экономических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068" w:val="left"/>
                <w:tab w:pos="15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ИПК-2.1 Знает основы анализа</w:t>
              <w:tab/>
              <w:t>и</w:t>
              <w:tab/>
              <w:t>оценки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существующих финансово -экономических рисков;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3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ИПК-2.2 Умеет составлять и обосновывать прогноз динамики</w:t>
              <w:tab/>
              <w:t>основных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2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259" w:val="left"/>
                <w:tab w:pos="16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экономических показателей</w:t>
              <w:tab/>
              <w:t>с</w:t>
              <w:tab/>
              <w:t>учетом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рисков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9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ИПК-2.3.</w:t>
              <w:tab/>
              <w:t>Владеет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034" w:val="left"/>
                <w:tab w:pos="219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методами</w:t>
              <w:tab/>
              <w:t>и</w:t>
              <w:tab/>
              <w:t>приемами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065" w:val="left"/>
                <w:tab w:pos="218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анализа</w:t>
              <w:tab/>
              <w:t>и</w:t>
              <w:tab/>
              <w:t>оценки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77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существующих финансово -экономических</w:t>
              <w:tab/>
              <w:t>рисков,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975" w:val="left"/>
                <w:tab w:pos="13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составления и обоснования прогноз</w:t>
              <w:tab/>
              <w:t>а</w:t>
              <w:tab/>
              <w:t>динамики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02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основных</w:t>
              <w:tab/>
              <w:t>финансово -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059" w:val="left"/>
                <w:tab w:pos="154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ИПК-2.1 Знает основы анализа</w:t>
              <w:tab/>
              <w:t>и</w:t>
              <w:tab/>
              <w:t>оценки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существующих финансово -экономических рисков;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36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ИПК-2.2 Умеет составлять и обосновывать прогноз динамики</w:t>
              <w:tab/>
              <w:t>основных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0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249" w:val="left"/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экономических показателей</w:t>
              <w:tab/>
              <w:t>с</w:t>
              <w:tab/>
              <w:t>учетом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рисков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74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ИПК-2.3.</w:t>
              <w:tab/>
              <w:t>Владеет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025" w:val="left"/>
                <w:tab w:pos="2174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методами</w:t>
              <w:tab/>
              <w:t>и</w:t>
              <w:tab/>
              <w:t>приемами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056" w:val="left"/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анализа</w:t>
              <w:tab/>
              <w:t>и</w:t>
              <w:tab/>
              <w:t>оценки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существующих финансово -экономических</w:t>
              <w:tab/>
              <w:t>рисков,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составления</w:t>
              <w:tab/>
              <w:t>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74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обоснования прогноз а динамики</w:t>
              <w:tab/>
              <w:t>основных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sz w:val="20"/>
                <w:szCs w:val="20"/>
              </w:rPr>
              <w:t>экономических показателей</w:t>
            </w:r>
          </w:p>
        </w:tc>
      </w:tr>
    </w:tbl>
    <w:p>
      <w:pPr>
        <w:widowControl w:val="0"/>
        <w:spacing w:after="291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023110" cy="182245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822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0.350000000000001pt;margin-top:1.pt;width:159.30000000000001pt;height:14.35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7"/>
        </w:rPr>
        <w:t>владелец</w:t>
        <w:tab/>
        <w:t>ОЧУ ВО "ММА"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9" w:right="649" w:bottom="950" w:left="749" w:header="421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0" w:right="140" w:firstLine="0"/>
        <w:jc w:val="center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b/>
          <w:bCs/>
        </w:rPr>
        <w:t>преподавателем и самостоятельную работу обучающегося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14"/>
        </w:rPr>
        <w:t>Общая трудоемкость дисциплины составляет 3 зачетных единицы (108 часов).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75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по семестрам</w:t>
            </w:r>
          </w:p>
        </w:tc>
      </w:tr>
      <w:tr>
        <w:trPr>
          <w:trHeight w:val="275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4</w:t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CharStyle16"/>
                <w:sz w:val="22"/>
                <w:szCs w:val="22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108</w:t>
            </w:r>
          </w:p>
        </w:tc>
      </w:tr>
      <w:tr>
        <w:trPr>
          <w:trHeight w:val="2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36</w:t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18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18</w:t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</w:tr>
      <w:tr>
        <w:trPr>
          <w:trHeight w:val="53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CharStyle16"/>
                <w:sz w:val="22"/>
                <w:szCs w:val="22"/>
              </w:rPr>
              <w:t xml:space="preserve">(СР) </w:t>
            </w:r>
            <w:r>
              <w:rPr>
                <w:rStyle w:val="CharStyle1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72</w:t>
            </w:r>
          </w:p>
        </w:tc>
      </w:tr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+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i/>
          <w:iCs/>
          <w:u w:val="single"/>
        </w:rPr>
        <w:t>Очно-заочная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62"/>
        <w:gridCol w:w="843"/>
        <w:gridCol w:w="831"/>
        <w:gridCol w:w="875"/>
      </w:tblGrid>
      <w:tr>
        <w:trPr>
          <w:trHeight w:val="275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Трудоемкость</w:t>
            </w:r>
          </w:p>
        </w:tc>
      </w:tr>
      <w:tr>
        <w:trPr>
          <w:trHeight w:val="275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по семестрам</w:t>
            </w:r>
          </w:p>
        </w:tc>
      </w:tr>
      <w:tr>
        <w:trPr>
          <w:trHeight w:val="275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CharStyle16"/>
                <w:sz w:val="22"/>
                <w:szCs w:val="22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-</w:t>
            </w:r>
          </w:p>
        </w:tc>
      </w:tr>
      <w:tr>
        <w:trPr>
          <w:trHeight w:val="2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</w:tr>
      <w:tr>
        <w:trPr>
          <w:trHeight w:val="54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CharStyle16"/>
                <w:sz w:val="22"/>
                <w:szCs w:val="22"/>
              </w:rPr>
              <w:t xml:space="preserve">(СР) </w:t>
            </w:r>
            <w:r>
              <w:rPr>
                <w:rStyle w:val="CharStyle1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05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rStyle w:val="CharStyle16"/>
                <w:rFonts w:ascii="Arial" w:eastAsia="Arial" w:hAnsi="Arial" w:cs="Arial"/>
                <w:color w:val="0051B5"/>
                <w:sz w:val="26"/>
                <w:szCs w:val="26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>
      <w:pPr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491" w:left="701" w:header="700" w:footer="6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4"/>
          <w:b/>
          <w:bCs/>
        </w:rPr>
        <w:t>3. Содержание и структура дисциплины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4"/>
        </w:rPr>
        <w:t xml:space="preserve">3.1. </w:t>
      </w:r>
      <w:r>
        <w:rPr>
          <w:rStyle w:val="CharStyle14"/>
          <w:b/>
          <w:bCs/>
        </w:rPr>
        <w:t>Учебно-тематический план по очной форме обучения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806" w:right="0" w:firstLine="0"/>
        <w:jc w:val="left"/>
      </w:pPr>
      <w:r>
        <w:rPr>
          <w:rStyle w:val="CharStyle14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07" w:lineRule="exact"/>
              <w:ind w:left="30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я а и о ф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6"/>
                <w:rFonts w:ascii="Arial" w:eastAsia="Arial" w:hAnsi="Arial" w:cs="Arial"/>
                <w:smallCaps/>
                <w:sz w:val="15"/>
                <w:szCs w:val="15"/>
              </w:rPr>
              <w:t xml:space="preserve">ф ф </w:t>
            </w:r>
            <w:r>
              <w:rPr>
                <w:rStyle w:val="CharStyle16"/>
                <w:b/>
                <w:bCs/>
                <w:sz w:val="22"/>
                <w:szCs w:val="22"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5" w:lineRule="exact"/>
              <w:ind w:left="26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ч ф ч м 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£ к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18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^ ч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  <w:lang w:val="en-US" w:eastAsia="en-US"/>
              </w:rPr>
              <w:t>It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20" w:lineRule="exact"/>
              <w:ind w:left="5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CharStyle16"/>
                <w:b/>
                <w:bCs/>
                <w:sz w:val="22"/>
                <w:szCs w:val="22"/>
              </w:rPr>
              <w:t>о а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exact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и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837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Теоретические вопросы финансов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ОПК-1 ПК-2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Бюджетная система и бюджетный процесс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ОПК-1 ПК-2</w:t>
            </w:r>
          </w:p>
        </w:tc>
      </w:tr>
      <w:tr>
        <w:trPr>
          <w:trHeight w:val="7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Финансовые рынки и государственная финансовая политика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ОПК-1 ПК-2</w:t>
            </w:r>
          </w:p>
        </w:tc>
      </w:tr>
      <w:tr>
        <w:trPr>
          <w:trHeight w:val="25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" w:right="0" w:firstLine="0"/>
        <w:jc w:val="left"/>
      </w:pPr>
      <w:r>
        <w:rPr>
          <w:rStyle w:val="CharStyle14"/>
          <w:i/>
          <w:iCs/>
        </w:rPr>
        <w:t>Очно-заочная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108" w:lineRule="exact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b/>
                <w:bCs/>
              </w:rPr>
              <w:t xml:space="preserve">а н У </w:t>
            </w:r>
            <w:r>
              <w:rPr>
                <w:rStyle w:val="CharStyle16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60"/>
              <w:jc w:val="both"/>
            </w:pPr>
            <w:r>
              <w:rPr>
                <w:rStyle w:val="CharStyle16"/>
                <w:rFonts w:ascii="Arial" w:eastAsia="Arial" w:hAnsi="Arial" w:cs="Arial"/>
                <w:smallCaps/>
                <w:sz w:val="15"/>
                <w:szCs w:val="15"/>
              </w:rPr>
              <w:t xml:space="preserve">ф ф </w:t>
            </w:r>
            <w:r>
              <w:rPr>
                <w:rStyle w:val="CharStyle16"/>
                <w:rFonts w:ascii="Arial" w:eastAsia="Arial" w:hAnsi="Arial" w:cs="Arial"/>
                <w:b/>
                <w:bCs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260"/>
              <w:jc w:val="both"/>
            </w:pPr>
            <w:r>
              <w:rPr>
                <w:rStyle w:val="CharStyle16"/>
                <w:rFonts w:ascii="Arial" w:eastAsia="Arial" w:hAnsi="Arial" w:cs="Arial"/>
                <w:b/>
                <w:bCs/>
              </w:rPr>
              <w:t>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16"/>
                <w:rFonts w:ascii="Arial" w:eastAsia="Arial" w:hAnsi="Arial" w:cs="Arial"/>
                <w:b/>
                <w:bCs/>
              </w:rPr>
              <w:t>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60" w:line="228" w:lineRule="auto"/>
              <w:ind w:left="0" w:right="0" w:firstLine="140"/>
              <w:jc w:val="left"/>
            </w:pPr>
            <w:r>
              <w:rPr>
                <w:rStyle w:val="CharStyle16"/>
                <w:rFonts w:ascii="Arial" w:eastAsia="Arial" w:hAnsi="Arial" w:cs="Arial"/>
                <w:b/>
                <w:bCs/>
              </w:rPr>
              <w:t>ф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40"/>
              <w:jc w:val="both"/>
            </w:pPr>
            <w:r>
              <w:rPr>
                <w:rStyle w:val="CharStyle16"/>
                <w:rFonts w:ascii="Arial" w:eastAsia="Arial" w:hAnsi="Arial" w:cs="Arial"/>
                <w:b/>
                <w:bCs/>
              </w:rPr>
              <w:t>н ч * 2 1н 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02" w:lineRule="auto"/>
              <w:ind w:left="0" w:right="320" w:firstLine="0"/>
              <w:jc w:val="right"/>
            </w:pPr>
            <w:r>
              <w:rPr>
                <w:rStyle w:val="CharStyle16"/>
                <w:rFonts w:ascii="Arial" w:eastAsia="Arial" w:hAnsi="Arial" w:cs="Arial"/>
                <w:b/>
                <w:bCs/>
              </w:rPr>
              <w:t>я н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320" w:firstLine="0"/>
              <w:jc w:val="right"/>
            </w:pPr>
            <w:r>
              <w:rPr>
                <w:rStyle w:val="CharStyle16"/>
                <w:rFonts w:ascii="Arial" w:eastAsia="Arial" w:hAnsi="Arial" w:cs="Arial"/>
                <w:b/>
                <w:bCs/>
              </w:rPr>
              <w:t>а ч й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Теоретические вопросы финансов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ОПК-1 ПК-2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Бюджетная система и бюджетный процесс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ОПК-1 ПК-2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Финансовые рынки и государственная финансовая политика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ОПК-1 ПК-2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rStyle w:val="CharStyle16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Зачет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4"/>
        </w:rPr>
        <w:t>О – опрос, Р-реферат</w:t>
      </w:r>
    </w:p>
    <w:p>
      <w:pPr>
        <w:widowControl w:val="0"/>
        <w:spacing w:after="157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82245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822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3.450000000000003pt;margin-top:1.pt;width:159.30000000000001pt;height:14.35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владелец</w:t>
        <w:tab/>
        <w:t>ОЧУ ВО "ММА"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0" w:right="0" w:firstLine="0"/>
        <w:jc w:val="lef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128" w:right="691" w:bottom="1369" w:left="707" w:header="700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>Терентий Ливиу Михайлович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4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2237"/>
        <w:gridCol w:w="144"/>
        <w:gridCol w:w="7241"/>
      </w:tblGrid>
      <w:tr>
        <w:trPr>
          <w:trHeight w:val="57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Наименование тем дисциплины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6A6A6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Содержание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6A6A6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Раздел 1. Теоретические вопросы финансов</w:t>
            </w:r>
          </w:p>
        </w:tc>
      </w:tr>
      <w:tr>
        <w:trPr>
          <w:trHeight w:val="139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1. Сущность, функции и основные категории финансов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Соотношение понятий деньги, финансы, кредит. Возникновение и историческое развитие финансов. Сущность и функции финансов, их роль в жизни общества. Понятие финансовых отношений. Движение финансов. Финансовые потоки. Финансовый механизм, его структура. Финансовый рынок.</w:t>
            </w:r>
          </w:p>
        </w:tc>
      </w:tr>
      <w:tr>
        <w:trPr>
          <w:trHeight w:val="194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2. Финансовые теории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Теории денег: металлистическая, номиналистическая, количественная. Финансовые аспекты классической политэкономии, теории Дж. М. Кейнса, монетаризма, теории неолиберальной экономики. Теории государственных финансов. Налогово-бюджетные теории. Современные тенденции развития финансовых теорий. Значение финансовых теорий в разработке современной финансовой политики.</w:t>
            </w:r>
          </w:p>
        </w:tc>
      </w:tr>
      <w:tr>
        <w:trPr>
          <w:trHeight w:val="166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3. Финансовая система общества. Система государственных и муниципальных финансов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Понятие и структура финансовой системы общества. Уровни формирования и управления финансами. Функциональные составляющие финансовой системы. Понятие государственных и муниципальных финансов, их структура и место в финансовой системе общества.</w:t>
            </w:r>
          </w:p>
        </w:tc>
      </w:tr>
      <w:tr>
        <w:trPr>
          <w:trHeight w:val="19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4. Денежная система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Основные составляющие денежной системы. Денежные реформы. Современная денежная система РФ. Денежная масса и ее структура. Центральный банк РФ как регулятор денежного обращения РФ. Наличный денежный оборот. Принципы и организация безналичных расчетов. Проблема неплатежей. Курс валюты и его значение для экономики. Регулирование валютного курса. Инфляция и меры по ее регулированию.</w:t>
            </w:r>
          </w:p>
        </w:tc>
      </w:tr>
      <w:tr>
        <w:trPr>
          <w:trHeight w:val="27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Тема 5.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Центральный банк РФ и его роль в финансовой системе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Роль центральных банков в экономике. Опыт функционирования центральных банков зарубежных стран. Статус Центрального банка РФ. Основные функции Центрального банка РФ. Центральный банк РФ как разработчик и проводник денежно-кредитной политики. Влияние Центрального банка на финансы и экономику.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Роль центральных банков в экономике. Опыт функционирования центральных банков зарубежных стран. Статус Центрального банка РФ. Основные функции Центрального банка РФ. Центральный банк РФ как разработчик и проводник денежно-кредитной политики. Влияние Центрального банка на финансы и экономику.</w:t>
            </w:r>
          </w:p>
        </w:tc>
      </w:tr>
      <w:tr>
        <w:trPr>
          <w:trHeight w:val="2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Раздел 2. Бюджетная система и бюджетный процесс</w:t>
            </w:r>
          </w:p>
        </w:tc>
      </w:tr>
      <w:tr>
        <w:trPr>
          <w:trHeight w:val="13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6. Сущность и основные функции бюджета.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Бюджетное устройство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Возникновение и историческое развитие бюджета. Сущность и функции бюджета. Бюджетная система и ее структура. Основные категории бюджета. Принципы бюджетного устройства.</w:t>
            </w:r>
          </w:p>
        </w:tc>
      </w:tr>
      <w:tr>
        <w:trPr>
          <w:trHeight w:val="96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7. Доходы бюджетной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Система бюджетных доходов. Классификация доходов. Налоговые и неналоговые доходные источники. Налоговая система. Основные налоги, их распределение по уровням бюджетной системы.</w:t>
            </w:r>
          </w:p>
        </w:tc>
      </w:tr>
      <w:tr>
        <w:trPr>
          <w:trHeight w:val="4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6"/>
                <w:b/>
                <w:bCs/>
                <w:sz w:val="16"/>
                <w:szCs w:val="16"/>
              </w:rPr>
              <w:t>системы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6"/>
                <w:b/>
                <w:bCs/>
                <w:color w:val="0051B5"/>
                <w:sz w:val="16"/>
                <w:szCs w:val="16"/>
              </w:rPr>
              <w:t>Л 1/ И~» 1 л 1-1ТЛ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6"/>
                <w:color w:val="231F20"/>
              </w:rPr>
              <w:t xml:space="preserve">Функции налогов. Основы налоговой политики. Организация </w:t>
            </w:r>
            <w:r>
              <w:rPr>
                <w:rStyle w:val="CharStyle16"/>
                <w:color w:val="231F20"/>
                <w:sz w:val="20"/>
                <w:szCs w:val="20"/>
                <w:vertAlign w:val="superscript"/>
              </w:rPr>
              <w:t>налого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CharStyle16"/>
                <w:color w:val="231F20"/>
                <w:sz w:val="20"/>
                <w:szCs w:val="20"/>
                <w:vertAlign w:val="superscript"/>
              </w:rPr>
              <w:t>ния в Р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</w:tc>
      </w:tr>
      <w:tr>
        <w:trPr>
          <w:trHeight w:val="55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8. Система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т подписан</w:t>
            </w:r>
            <w:r>
              <w:rPr>
                <w:rStyle w:val="CharStyle16"/>
                <w:sz w:val="20"/>
                <w:szCs w:val="20"/>
                <w:vertAlign w:val="superscript"/>
              </w:rPr>
              <w:t>т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6"/>
                <w:color w:val="231F20"/>
              </w:rPr>
              <w:t xml:space="preserve">Понятие и назначе 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CharStyle16"/>
                <w:color w:val="231F20"/>
              </w:rPr>
              <w:t xml:space="preserve">ходов. Роль бюджета в 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CharStyle16"/>
                <w:color w:val="231F20"/>
                <w:sz w:val="20"/>
                <w:szCs w:val="20"/>
                <w:vertAlign w:val="superscript"/>
              </w:rPr>
              <w:t>обеспе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CharStyle16"/>
                <w:color w:val="231F20"/>
                <w:sz w:val="20"/>
                <w:szCs w:val="20"/>
                <w:vertAlign w:val="superscript"/>
              </w:rPr>
              <w:t>вн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8E3BF3226E05F4E8E415AEE5AB64241A0DE84149</w:t>
            </w:r>
            <w:r>
              <w:rPr>
                <w:rStyle w:val="CharStyle16"/>
                <w:color w:val="231F20"/>
                <w:sz w:val="20"/>
                <w:szCs w:val="20"/>
                <w:vertAlign w:val="superscript"/>
              </w:rPr>
              <w:t>ные виды</w:t>
            </w:r>
          </w:p>
        </w:tc>
      </w:tr>
      <w:tr>
        <w:trPr>
          <w:trHeight w:val="55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276" w:val="left"/>
              </w:tabs>
              <w:bidi w:val="0"/>
              <w:spacing w:before="80" w:after="0" w:line="240" w:lineRule="auto"/>
              <w:ind w:left="0" w:right="0" w:firstLine="780"/>
              <w:jc w:val="both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2311"/>
        <w:gridCol w:w="7309"/>
      </w:tblGrid>
      <w:tr>
        <w:trPr>
          <w:trHeight w:val="167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расходов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both"/>
            </w:pPr>
            <w:r>
              <w:rPr>
                <w:rStyle w:val="CharStyle16"/>
                <w:color w:val="231F20"/>
              </w:rPr>
              <w:t>бюджетных расходов. Функциональная, ведомственная и экономическая классификации расходов. Балансировка бюджета. Распределение бюджетных расходов по уровням бюджетной системы. Полномочия федеральных, региональных и местных органов в осуществлении расходов. Минимальный бюджет. Защищенные статьи расходов.</w:t>
            </w:r>
          </w:p>
        </w:tc>
      </w:tr>
      <w:tr>
        <w:trPr>
          <w:trHeight w:val="19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Тема 9 Федеральный бюджет и межбюджетные отношения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both"/>
            </w:pPr>
            <w:r>
              <w:rPr>
                <w:rStyle w:val="CharStyle16"/>
                <w:color w:val="231F20"/>
              </w:rPr>
              <w:t>Место и роль федерального бюджета в осуществлении социально</w:t>
              <w:softHyphen/>
              <w:t>экономической политики. Главные характеристики федерального бюджета. Бюджетный федерализм. Необходимость, принципы и организация межбюджетных отношений. Механизмы перечисления средств из федерального бюджета в бюджеты субъектов Федерации. Проблематика и направления совершенствования межбюджетных отношений.</w:t>
            </w:r>
          </w:p>
        </w:tc>
      </w:tr>
      <w:tr>
        <w:trPr>
          <w:trHeight w:val="19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10.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Региональные бюджеты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463" w:val="left"/>
                <w:tab w:pos="3077" w:val="left"/>
                <w:tab w:pos="4805" w:val="left"/>
                <w:tab w:pos="6329" w:val="left"/>
              </w:tabs>
              <w:bidi w:val="0"/>
              <w:spacing w:before="0" w:after="0" w:line="240" w:lineRule="auto"/>
              <w:ind w:left="160" w:right="0" w:firstLine="0"/>
              <w:jc w:val="both"/>
            </w:pPr>
            <w:r>
              <w:rPr>
                <w:rStyle w:val="CharStyle16"/>
                <w:color w:val="231F20"/>
              </w:rPr>
              <w:t>Роль и место региональных бюджетов в финансовой системе России и системе региональных финансов, их основные функции. Основные источники формирования региональных бюджетов и основные</w:t>
              <w:tab/>
              <w:t>направления</w:t>
              <w:tab/>
              <w:t>расходования</w:t>
              <w:tab/>
              <w:t>бюджетных</w:t>
              <w:tab/>
              <w:t>средств.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both"/>
            </w:pPr>
            <w:r>
              <w:rPr>
                <w:rStyle w:val="CharStyle16"/>
                <w:color w:val="231F20"/>
              </w:rPr>
              <w:t>Особенности бюджетного процесса. Сущность и механизмы межбюджетных отношений между регионами и муниципальными образованиями.</w:t>
            </w:r>
          </w:p>
        </w:tc>
      </w:tr>
      <w:tr>
        <w:trPr>
          <w:trHeight w:val="13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Тема 11.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Муниципальные бюджеты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both"/>
            </w:pPr>
            <w:r>
              <w:rPr>
                <w:rStyle w:val="CharStyle16"/>
                <w:color w:val="231F20"/>
              </w:rPr>
              <w:t>Роль местных бюджетов в финансовой системе России и в системе местных финансов, их основные функции. Основные источники формирования местных бюджетов и основные направления расходов. Особенности бюджетного процесса. Особенности бюджетов муниципальных образований разных типов.</w:t>
            </w:r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Раздел 3. Финансовые рынки и государственная финансовая политика</w:t>
            </w: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12. Кредитная система и кредитный рынок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Финансовые рынки: сущность, виды, функциональное назначение. Понятие кредита, его роль в обществе, основные виды. Принципы кредитования. Кредитная система, ее структура. Система кредитных учреждений в РФ. Рынок кредитных ресурсов.</w:t>
            </w:r>
          </w:p>
        </w:tc>
      </w:tr>
      <w:tr>
        <w:trPr>
          <w:trHeight w:val="19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13.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Банковская система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Банки как общественный институт. Их возникновение и историческое развитие. Функции банков и их роль в развитии экономики. Основные виды банков. Принципы деятельности банков. Активы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и пассивы банков. Основные банковские операции. Рынок банковского кредита. Взаимоотношения Центрального банка РФ и коммерческих банков.</w:t>
            </w:r>
          </w:p>
        </w:tc>
      </w:tr>
      <w:tr>
        <w:trPr>
          <w:trHeight w:val="194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15. Цели и принципы государственной финансовой политики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Необходимость и сущность страхования. Организационные формы и виды страхования. Структура и функции страховых органов и их отделений на местах. Страховой рынок. Финансовые аспекты страховой деятельности. Перестрахование. Анализ тенденций развития страхового рынка. Государственное социальное страхование. Внебюджетные фонды, источники их доходов и механизм функционирования.</w:t>
            </w:r>
          </w:p>
        </w:tc>
      </w:tr>
      <w:tr>
        <w:trPr>
          <w:trHeight w:val="12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Тема 16. Органы управления финансами.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6"/>
                <w:color w:val="231F20"/>
              </w:rPr>
              <w:t>Система органов управления финансами. Их функции в отношении государственных и муниципальных финансов и финансов негосударственного сектора. Министерство финансов, Министерство по налогам и сборам, их структура и полномочия. Территориальные</w:t>
            </w:r>
          </w:p>
        </w:tc>
      </w:tr>
      <w:tr>
        <w:trPr>
          <w:trHeight w:val="9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58" w:lineRule="auto"/>
              <w:ind w:left="0" w:right="0" w:firstLine="0"/>
              <w:jc w:val="left"/>
            </w:pPr>
            <w:r>
              <w:rPr>
                <w:rStyle w:val="CharStyle16"/>
              </w:rPr>
              <w:t xml:space="preserve">Государственный финансовый </w:t>
            </w:r>
            <w:r>
              <w:rPr>
                <w:rStyle w:val="CharStyle16"/>
                <w:b/>
                <w:bCs/>
                <w:color w:val="0051B5"/>
              </w:rPr>
              <w:t xml:space="preserve">рЧСрипто </w:t>
            </w:r>
            <w:r>
              <w:rPr>
                <w:rStyle w:val="CharStyle16"/>
              </w:rPr>
              <w:t>контроль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6"/>
                <w:color w:val="231F20"/>
              </w:rPr>
              <w:t xml:space="preserve">подразделения федеральных органов управления финансами. Основн 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CharStyle16"/>
                <w:color w:val="231F20"/>
              </w:rPr>
              <w:t xml:space="preserve">инцип 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ВО"ММА" </w:t>
            </w:r>
            <w:r>
              <w:rPr>
                <w:rStyle w:val="CharStyle16"/>
                <w:color w:val="231F20"/>
              </w:rPr>
              <w:t>и методы государственного финансового контрол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 ихайлович</w:t>
            </w:r>
            <w:r>
              <w:rPr>
                <w:rStyle w:val="CharStyle16"/>
                <w:color w:val="231F20"/>
              </w:rPr>
              <w:t xml:space="preserve">ственного контроля. Его 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CharStyle16"/>
                <w:color w:val="231F20"/>
                <w:sz w:val="20"/>
                <w:szCs w:val="20"/>
                <w:vertAlign w:val="superscript"/>
              </w:rPr>
              <w:t>рганиз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серийный</w:t>
            </w:r>
            <w:r>
              <w:rPr>
                <w:rStyle w:val="CharStyle16"/>
                <w:color w:val="231F20"/>
                <w:sz w:val="20"/>
                <w:szCs w:val="20"/>
                <w:vertAlign w:val="superscript"/>
              </w:rPr>
              <w:t>а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 xml:space="preserve">номер </w:t>
            </w:r>
            <w:r>
              <w:rPr>
                <w:rStyle w:val="CharStyle16"/>
                <w:color w:val="231F20"/>
                <w:sz w:val="20"/>
                <w:szCs w:val="20"/>
                <w:vertAlign w:val="superscript"/>
              </w:rPr>
              <w:t>у</w:t>
            </w:r>
            <w:r>
              <w:rPr>
                <w:rStyle w:val="CharStyle16"/>
                <w:color w:val="231F20"/>
                <w:sz w:val="20"/>
                <w:szCs w:val="20"/>
              </w:rPr>
              <w:t xml:space="preserve"> 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8E3BF32 26E05F4E8E415AEE5AB64 241A0DE84 </w:t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149</w:t>
            </w:r>
          </w:p>
        </w:tc>
      </w:tr>
      <w:tr>
        <w:trPr>
          <w:trHeight w:val="56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left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«Государственные и муниципальные финансы»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2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38" w:val="left"/>
        </w:tabs>
        <w:bidi w:val="0"/>
        <w:spacing w:before="0" w:after="0" w:line="240" w:lineRule="auto"/>
        <w:ind w:left="820" w:right="0" w:firstLine="720"/>
        <w:jc w:val="both"/>
      </w:pPr>
      <w:bookmarkStart w:id="3" w:name="bookmark3"/>
      <w:r>
        <w:rPr>
          <w:rStyle w:val="CharStyle43"/>
          <w:b/>
          <w:bCs/>
        </w:rPr>
        <w:t>Подготовка к лекции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38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63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5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63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8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5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2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38" w:val="left"/>
        </w:tabs>
        <w:bidi w:val="0"/>
        <w:spacing w:before="0" w:after="0" w:line="240" w:lineRule="auto"/>
        <w:ind w:right="0" w:firstLine="0"/>
        <w:jc w:val="left"/>
      </w:pPr>
      <w:bookmarkStart w:id="5" w:name="bookmark5"/>
      <w:r>
        <w:rPr>
          <w:rStyle w:val="CharStyle43"/>
          <w:b/>
          <w:bCs/>
        </w:rPr>
        <w:t>Подготовка к практическим и лабораторным занятиям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Предварительная подготовка к практическому и лабораторному занятию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2700" distR="12700" simplePos="0" relativeHeight="125829397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25400</wp:posOffset>
                </wp:positionV>
                <wp:extent cx="988060" cy="702310"/>
                <wp:wrapSquare wrapText="righ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8060" cy="702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заключается в работы время, лабораторной приборами.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3.450000000000003pt;margin-top:2.pt;width:77.799999999999997pt;height:55.300000000000004pt;z-index:-125829356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заключается в работы время, лабораторной приборами.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изучении теоретического материала в отведенное для самостоятельной ознакомление с инструктивными материалами с целью осознания задач работы/практического занятия, техники безопасности при работе 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58" w:val="left"/>
          <w:tab w:pos="5360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rStyle w:val="CharStyle7"/>
          <w:color w:val="0051B5"/>
          <w:lang w:val="en-US" w:eastAsia="en-US"/>
        </w:rPr>
        <w:t xml:space="preserve">knUTX/n </w:t>
      </w:r>
      <w:r>
        <w:rPr>
          <w:rStyle w:val="CharStyle7"/>
          <w:color w:val="0051B5"/>
        </w:rPr>
        <w:t>кпмптп</w:t>
        <w:tab/>
      </w:r>
      <w:r>
        <w:rPr>
          <w:rStyle w:val="CharStyle7"/>
        </w:rPr>
        <w:t>владелец</w:t>
        <w:tab/>
        <w:t>ОЧУ ВО "ММА"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37" w:val="left"/>
          <w:tab w:pos="3858" w:val="left"/>
        </w:tabs>
        <w:bidi w:val="0"/>
        <w:spacing w:before="0" w:after="60" w:line="216" w:lineRule="auto"/>
        <w:ind w:left="0" w:right="0" w:firstLine="1540"/>
        <w:jc w:val="both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406400</wp:posOffset>
                </wp:positionV>
                <wp:extent cx="1694180" cy="146685"/>
                <wp:wrapSquare wrapText="righ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4.399999999999999pt;margin-top:32.pt;width:133.40000000000001pt;height:11.550000000000001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консультирование обучающихся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Терентий Ливиу Михайлович </w:t>
      </w:r>
      <w:r>
        <w:rPr>
          <w:rStyle w:val="CharStyle3"/>
        </w:rPr>
        <w:t xml:space="preserve">целью предоставления исчерпывающей информации, необходимой для самостоятельного выполнения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  <w:tab/>
        <w:t xml:space="preserve">серийный номер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7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67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42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right="0" w:firstLine="0"/>
        <w:jc w:val="both"/>
      </w:pPr>
      <w:bookmarkStart w:id="7" w:name="bookmark7"/>
      <w:r>
        <w:rPr>
          <w:rStyle w:val="CharStyle43"/>
          <w:b/>
          <w:bCs/>
        </w:rPr>
        <w:t>Самостоятельная работа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47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/>
        <w:jc w:val="both"/>
      </w:pPr>
      <w:bookmarkStart w:id="9" w:name="bookmark9"/>
      <w:r>
        <w:rPr>
          <w:rStyle w:val="CharStyle48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9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0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«Государственные и муниципальные финансы» используются следующие формы текущего контроля успеваемости обучающихся: опрос, реферат.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77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Форма проведения промежуточной аттестации – зачет с оценкой.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5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32" w:val="left"/>
        </w:tabs>
        <w:bidi w:val="0"/>
        <w:spacing w:before="0" w:after="320" w:line="240" w:lineRule="auto"/>
        <w:ind w:left="820" w:right="0" w:firstLine="0"/>
        <w:jc w:val="both"/>
      </w:pPr>
      <w:r>
        <w:rPr>
          <w:rStyle w:val="CharStyle3"/>
        </w:rPr>
        <w:t xml:space="preserve">Сироткин, С. А. Государственные и муниципальные финансы : теория и практика : учебное пособие : [16+] / С. А. Сироткин, А. Ю. Тарасова, Т. В. Логинова ; Финансовый университет при Правительстве Российской Федерации (Ярославский филиал). – Москва : Прометей, 2023. – 136 с. : табл., схем.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"https://biblioclub.ru/index.php?page=book&amp;id=701081"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https://biblioclub.ru/index.php?page=book&amp;id=701081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00172-412-4.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32" w:val="left"/>
        </w:tabs>
        <w:bidi w:val="0"/>
        <w:spacing w:before="0" w:after="0" w:line="185" w:lineRule="auto"/>
        <w:ind w:left="820" w:right="0" w:firstLine="0"/>
        <w:jc w:val="both"/>
      </w:pPr>
      <w:r>
        <w:rPr>
          <w:rStyle w:val="CharStyle3"/>
        </w:rPr>
        <w:t>Цибульникова, В. Ю. Государственные и муниципальные финансы : учебное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64" w:val="left"/>
        </w:tabs>
        <w:bidi w:val="0"/>
        <w:spacing w:before="0" w:after="60" w:line="211" w:lineRule="auto"/>
        <w:ind w:left="0" w:right="0" w:firstLine="0"/>
        <w:jc w:val="both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444500</wp:posOffset>
                </wp:positionV>
                <wp:extent cx="1694180" cy="146685"/>
                <wp:wrapSquare wrapText="righ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4.25pt;margin-top:35.pt;width:133.40000000000001pt;height:11.550000000000001pt;z-index:-12582935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color w:val="0051B5"/>
        </w:rPr>
        <w:t xml:space="preserve">Конту </w:t>
      </w:r>
      <w:r>
        <w:rPr>
          <w:rStyle w:val="CharStyle3"/>
        </w:rPr>
        <w:t xml:space="preserve">пособие / В. Ю. Цибульни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Томс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ТОеЧрУенВтОи йМЛМиАвиу Михайлович </w:t>
      </w:r>
      <w:r>
        <w:rPr>
          <w:rStyle w:val="CharStyle3"/>
        </w:rPr>
        <w:t xml:space="preserve">й университет систем управления и радиоэлектроники (ТУСУР). – Томск : Эль Контент, 2013. – 169 с. : ил. –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  <w:tab/>
        <w:t xml:space="preserve">серийный номер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7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800" w:right="0" w:firstLine="0"/>
        <w:jc w:val="both"/>
        <w:rPr>
          <w:sz w:val="26"/>
          <w:szCs w:val="26"/>
        </w:rPr>
      </w:pPr>
      <w:r>
        <w:rPr>
          <w:rStyle w:val="CharStyle3"/>
        </w:rPr>
        <w:t xml:space="preserve">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"https://biblioclub.ru/index.php?page=book&amp;id=480527"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https://biblioclub.ru/index.php?page=book&amp;id=480527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Библиогр.: 152-153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 xml:space="preserve">978-5-4332-0127-9. – Текст : </w:t>
      </w:r>
      <w:r>
        <w:rPr>
          <w:rStyle w:val="CharStyle3"/>
          <w:rFonts w:ascii="Arial" w:eastAsia="Arial" w:hAnsi="Arial" w:cs="Arial"/>
          <w:sz w:val="26"/>
          <w:szCs w:val="26"/>
        </w:rPr>
        <w:t>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49" w:val="left"/>
        </w:tabs>
        <w:bidi w:val="0"/>
        <w:spacing w:before="0" w:after="460" w:line="240" w:lineRule="auto"/>
        <w:ind w:left="0" w:right="0" w:firstLine="0"/>
        <w:jc w:val="center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89" w:val="left"/>
        </w:tabs>
        <w:bidi w:val="0"/>
        <w:spacing w:before="0" w:after="0" w:line="240" w:lineRule="auto"/>
        <w:ind w:left="800" w:right="0" w:firstLine="0"/>
        <w:jc w:val="both"/>
      </w:pPr>
      <w:r>
        <w:rPr>
          <w:rStyle w:val="CharStyle3"/>
        </w:rPr>
        <w:t>Ветрова, Е. А. Государственные и муниципальные финансы : учебно-методическое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59" w:val="left"/>
          <w:tab w:pos="2540" w:val="left"/>
          <w:tab w:pos="3186" w:val="left"/>
          <w:tab w:pos="4089" w:val="left"/>
          <w:tab w:pos="4811" w:val="left"/>
          <w:tab w:pos="6091" w:val="left"/>
          <w:tab w:pos="7560" w:val="left"/>
          <w:tab w:pos="8409" w:val="left"/>
          <w:tab w:pos="10024" w:val="left"/>
        </w:tabs>
        <w:bidi w:val="0"/>
        <w:spacing w:before="0" w:after="0" w:line="240" w:lineRule="auto"/>
        <w:ind w:left="800" w:right="0" w:firstLine="0"/>
        <w:jc w:val="both"/>
      </w:pPr>
      <w:r>
        <w:rPr>
          <w:rStyle w:val="CharStyle3"/>
        </w:rPr>
        <w:t>пособие : [16+] / Е. А. Ветрова, Е. Е. Кабанова. – Москва ; Берлин : Директ-Медиа, 2020. – 208</w:t>
        <w:tab/>
        <w:t>с.</w:t>
        <w:tab/>
        <w:t>:</w:t>
        <w:tab/>
        <w:t>ил.</w:t>
        <w:tab/>
        <w:t>–</w:t>
        <w:tab/>
        <w:t>Режим</w:t>
        <w:tab/>
        <w:t>доступа:</w:t>
        <w:tab/>
        <w:t>по</w:t>
        <w:tab/>
        <w:t>подписке.</w:t>
        <w:tab/>
        <w:t>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0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"https://biblioclub.ru/index.php?page=book&amp;id=597817"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https://biblioclub.ru/index.php?page=book&amp;id=597817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5-4499-1573-3.</w:t>
      </w:r>
      <w:r>
        <w:rPr>
          <w:rStyle w:val="CharStyle3"/>
        </w:rPr>
        <w:t xml:space="preserve"> – </w:t>
      </w:r>
      <w:r>
        <w:rPr>
          <w:rStyle w:val="CharStyle3"/>
          <w:lang w:val="en-US" w:eastAsia="en-US"/>
        </w:rPr>
        <w:t xml:space="preserve">DOI </w:t>
      </w:r>
      <w:r>
        <w:rPr>
          <w:rStyle w:val="CharStyle3"/>
        </w:rPr>
        <w:t>10.23681/597817.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89" w:val="left"/>
        </w:tabs>
        <w:bidi w:val="0"/>
        <w:spacing w:before="0" w:after="0" w:line="276" w:lineRule="auto"/>
        <w:ind w:left="800" w:right="0" w:firstLine="0"/>
        <w:jc w:val="both"/>
      </w:pPr>
      <w:r>
        <w:rPr>
          <w:rStyle w:val="CharStyle3"/>
        </w:rPr>
        <w:t>Актуальные проблемы государственных и муниципальных финансов : учебное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76" w:lineRule="auto"/>
        <w:ind w:left="800" w:right="0" w:firstLine="0"/>
        <w:jc w:val="both"/>
      </w:pPr>
      <w:r>
        <w:rPr>
          <w:rStyle w:val="CharStyle3"/>
        </w:rPr>
        <w:t xml:space="preserve">пособие : [16+] / Н. Г. Вовченко, О. Б. Иванова, С. Н. Рукина [и др.] ; под ред. Н. Г. Вовченко, О. Б. Ивановой, С. Н. Рукиной ; Ростовский государственный экономический университет (РИНХ). – Ростов-на-Дону : Ростовский государственный экономический университет (РИНХ), 2022. – 235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"https://biblioclub.ru/index.php?page=book&amp;id=701382"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https://biblioclub.ru/index.php?page=book&amp;id=701382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Библиогр.: с. 201-210.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978-5-7972-3057-1. – Текст : электронный.</w:t>
      </w:r>
    </w:p>
    <w:p>
      <w:pPr>
        <w:pStyle w:val="Style47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28" w:val="left"/>
        </w:tabs>
        <w:bidi w:val="0"/>
        <w:spacing w:before="0" w:after="0" w:line="240" w:lineRule="auto"/>
        <w:ind w:left="800" w:right="0"/>
        <w:jc w:val="both"/>
      </w:pPr>
      <w:bookmarkStart w:id="11" w:name="bookmark11"/>
      <w:r>
        <w:rPr>
          <w:rStyle w:val="CharStyle48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0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5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</w:t>
      </w:r>
      <w:r>
        <w:rPr>
          <w:rStyle w:val="CharStyle3"/>
          <w:color w:val="0051B5"/>
        </w:rPr>
        <w:t xml:space="preserve">Конту </w:t>
      </w:r>
      <w:r>
        <w:rPr>
          <w:rStyle w:val="CharStyle3"/>
          <w:lang w:val="en-US" w:eastAsia="en-US"/>
        </w:rPr>
        <w:t xml:space="preserve">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07, Mic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ОЧУВО "ММА" </w:t>
      </w:r>
      <w:r>
        <w:rPr>
          <w:rStyle w:val="CharStyle3"/>
          <w:lang w:val="en-US" w:eastAsia="en-US"/>
        </w:rPr>
        <w:t xml:space="preserve">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 нтий Ливиу Михайлович</w:t>
      </w:r>
      <w:r>
        <w:rPr>
          <w:rStyle w:val="CharStyle3"/>
        </w:rPr>
        <w:t>7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797" w:val="left"/>
          <w:tab w:pos="53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Документ подписан квалифицированной</w:t>
        <w:tab/>
        <w:t>серийный номер</w:t>
        <w:tab/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797" w:val="left"/>
          <w:tab w:pos="5306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rStyle w:val="CharStyle7"/>
          <w:sz w:val="20"/>
          <w:szCs w:val="20"/>
          <w:vertAlign w:val="superscript"/>
        </w:rPr>
        <w:t>электронной подписью 05.12.2024</w:t>
      </w:r>
      <w:r>
        <w:rPr>
          <w:rStyle w:val="CharStyle7"/>
          <w:sz w:val="20"/>
          <w:szCs w:val="20"/>
        </w:rPr>
        <w:tab/>
      </w:r>
      <w:r>
        <w:rPr>
          <w:rStyle w:val="CharStyle7"/>
        </w:rPr>
        <w:t>срок действия</w:t>
        <w:tab/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1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8" w:val="left"/>
          <w:tab w:pos="87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87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 xml:space="preserve">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</w:t>
      </w:r>
      <w:r>
        <w:rPr>
          <w:rStyle w:val="CharStyle3"/>
          <w:color w:val="0051B5"/>
        </w:rPr>
        <w:t xml:space="preserve">Конту </w:t>
      </w:r>
      <w:r>
        <w:rPr>
          <w:rStyle w:val="CharStyle3"/>
        </w:rPr>
        <w:t>имеющих вышеназванный ста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рма пр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нВтОийМЛМиАвиу Михайлович</w:t>
      </w:r>
      <w:r>
        <w:rPr>
          <w:rStyle w:val="CharStyle3"/>
        </w:rPr>
        <w:t>ромежуточной аттестации для студента-инвалида или лица с ОВЗ может и должна устанавливаться преподавателем с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60" w:line="221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101600</wp:posOffset>
                </wp:positionV>
                <wp:extent cx="1694180" cy="146685"/>
                <wp:wrapSquare wrapText="right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4.399999999999999pt;margin-top:8.pt;width:133.40000000000001pt;height:11.550000000000001pt;z-index:-12582935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180" w:right="0" w:firstLine="0"/>
        <w:jc w:val="both"/>
      </w:pPr>
      <w:r>
        <w:rPr>
          <w:rStyle w:val="CharStyle7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0"/>
        <w:jc w:val="both"/>
      </w:pPr>
      <w:r>
        <w:rPr>
          <w:rStyle w:val="CharStyle3"/>
        </w:rPr>
        <w:t>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60" w:line="240" w:lineRule="auto"/>
        <w:ind w:left="98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rStyle w:val="CharStyle16"/>
                <w:rFonts w:ascii="Arial" w:eastAsia="Arial" w:hAnsi="Arial" w:cs="Arial"/>
                <w:color w:val="0051B5"/>
                <w:sz w:val="26"/>
                <w:szCs w:val="26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sectPr>
      <w:footerReference w:type="default" r:id="rId12"/>
      <w:footnotePr>
        <w:pos w:val="pageBottom"/>
        <w:numFmt w:val="decimal"/>
        <w:numRestart w:val="continuous"/>
      </w:footnotePr>
      <w:pgSz w:w="11900" w:h="16840"/>
      <w:pgMar w:top="1125" w:right="679" w:bottom="491" w:left="713" w:header="697" w:footer="6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3989705</wp:posOffset>
              </wp:positionH>
              <wp:positionV relativeFrom="page">
                <wp:posOffset>9290050</wp:posOffset>
              </wp:positionV>
              <wp:extent cx="1386205" cy="21653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14.15000000000003pt;margin-top:731.5pt;width:109.15000000000001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9649460</wp:posOffset>
              </wp:positionV>
              <wp:extent cx="1973580" cy="21399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7.200000000000003pt;margin-top:759.80000000000007pt;width:155.40000000000001pt;height:16.8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3993515</wp:posOffset>
              </wp:positionH>
              <wp:positionV relativeFrom="page">
                <wp:posOffset>9651365</wp:posOffset>
              </wp:positionV>
              <wp:extent cx="2322830" cy="24193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2830" cy="241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14.44999999999999pt;margin-top:759.95000000000005pt;width:182.90000000000001pt;height:19.0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10170795</wp:posOffset>
              </wp:positionV>
              <wp:extent cx="1973580" cy="21399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 одписан квалифицированной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5.800000000000004pt;margin-top:800.85000000000002pt;width:155.40000000000001pt;height:16.8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 одписан квалифицированной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10172700</wp:posOffset>
              </wp:positionV>
              <wp:extent cx="3272790" cy="26162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38.25pt;margin-top:801.pt;width:257.69999999999999pt;height:20.60000000000000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10170795</wp:posOffset>
              </wp:positionV>
              <wp:extent cx="1973580" cy="21399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 одписан квалифицированной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5.800000000000004pt;margin-top:800.85000000000002pt;width:155.40000000000001pt;height:16.8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 одписан квалифицированной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10172700</wp:posOffset>
              </wp:positionV>
              <wp:extent cx="3272790" cy="26162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38.25pt;margin-top:801.pt;width:257.69999999999999pt;height:20.600000000000001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9">
    <w:name w:val="Основной текст (4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5"/>
      <w:sz w:val="26"/>
      <w:szCs w:val="26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CharStyle14">
    <w:name w:val="Подпись к таблиц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Колонтитул (2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">
    <w:name w:val="Заголовок №2_"/>
    <w:basedOn w:val="DefaultParagraphFont"/>
    <w:link w:val="Styl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8">
    <w:name w:val="Заголовок №1_"/>
    <w:basedOn w:val="DefaultParagraphFont"/>
    <w:link w:val="Styl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51B5"/>
      <w:sz w:val="26"/>
      <w:szCs w:val="26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300"/>
      <w:ind w:left="3500" w:hanging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Колонтитул (2)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2">
    <w:name w:val="Заголовок №2"/>
    <w:basedOn w:val="Normal"/>
    <w:link w:val="CharStyle43"/>
    <w:pPr>
      <w:widowControl w:val="0"/>
      <w:shd w:val="clear" w:color="auto" w:fill="auto"/>
      <w:ind w:left="154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7">
    <w:name w:val="Заголовок №1"/>
    <w:basedOn w:val="Normal"/>
    <w:link w:val="CharStyle48"/>
    <w:pPr>
      <w:widowControl w:val="0"/>
      <w:shd w:val="clear" w:color="auto" w:fill="auto"/>
      <w:ind w:left="81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/Relationships>
</file>