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95" w:rsidRDefault="005E5C95" w:rsidP="005E5C95">
      <w:pPr>
        <w:spacing w:line="1" w:lineRule="exact"/>
      </w:pPr>
    </w:p>
    <w:p w:rsidR="005E5C95" w:rsidRDefault="005E5C95" w:rsidP="005E5C95">
      <w:pPr>
        <w:pStyle w:val="1"/>
        <w:ind w:firstLine="0"/>
        <w:jc w:val="center"/>
        <w:rPr>
          <w:rStyle w:val="a3"/>
          <w:b/>
          <w:bCs/>
        </w:rPr>
      </w:pPr>
    </w:p>
    <w:p w:rsidR="005E5C95" w:rsidRDefault="005E5C95" w:rsidP="005E5C95">
      <w:pPr>
        <w:spacing w:line="1" w:lineRule="exact"/>
      </w:pPr>
    </w:p>
    <w:p w:rsidR="005E5C95" w:rsidRDefault="005E5C95" w:rsidP="005E5C95">
      <w:pPr>
        <w:spacing w:line="1" w:lineRule="exact"/>
      </w:pPr>
    </w:p>
    <w:p w:rsidR="005E5C95" w:rsidRDefault="005E5C95" w:rsidP="005E5C9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839990" wp14:editId="03A72A1E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2" name="Рисунок 2" descr="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C95" w:rsidRDefault="005E5C95" w:rsidP="005E5C9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E5C95" w:rsidRDefault="005E5C95" w:rsidP="005E5C9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E5C95" w:rsidRDefault="005E5C95" w:rsidP="005E5C95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5E5C95" w:rsidRDefault="005E5C95" w:rsidP="005E5C9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5E5C95" w:rsidRDefault="005E5C95" w:rsidP="005E5C95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5E5C95" w:rsidRDefault="005E5C95" w:rsidP="005E5C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077DAA" wp14:editId="1D6CC883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4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5E5C95" w:rsidRDefault="005E5C95" w:rsidP="005E5C9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5516B0" wp14:editId="68545A9E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C95" w:rsidRDefault="005E5C95" w:rsidP="005E5C9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72542D5" wp14:editId="3B819A47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60878C5" wp14:editId="3E0E1BBF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7" name="Рисунок 7" descr="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5E5C95" w:rsidRDefault="005E5C95" w:rsidP="005E5C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5E5C95" w:rsidRDefault="005E5C95" w:rsidP="005E5C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E5C95" w:rsidRDefault="005E5C95" w:rsidP="005E5C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5E5C95" w:rsidRDefault="005E5C95" w:rsidP="005E5C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E5C95" w:rsidRDefault="005E5C95" w:rsidP="005E5C95">
      <w:pPr>
        <w:pStyle w:val="1"/>
        <w:ind w:firstLine="0"/>
        <w:jc w:val="center"/>
        <w:rPr>
          <w:rStyle w:val="a3"/>
          <w:b/>
          <w:bCs/>
        </w:rPr>
      </w:pPr>
    </w:p>
    <w:p w:rsidR="005E5C95" w:rsidRDefault="005E5C95">
      <w:pPr>
        <w:pStyle w:val="1"/>
        <w:ind w:firstLine="0"/>
        <w:jc w:val="center"/>
        <w:rPr>
          <w:rStyle w:val="a3"/>
          <w:b/>
          <w:bCs/>
        </w:rPr>
      </w:pPr>
    </w:p>
    <w:p w:rsidR="005E5C95" w:rsidRDefault="005E5C95">
      <w:pPr>
        <w:pStyle w:val="1"/>
        <w:ind w:firstLine="0"/>
        <w:jc w:val="center"/>
        <w:rPr>
          <w:rStyle w:val="a3"/>
          <w:b/>
          <w:bCs/>
        </w:rPr>
      </w:pPr>
    </w:p>
    <w:p w:rsidR="005E5C95" w:rsidRDefault="005E5C95">
      <w:pPr>
        <w:pStyle w:val="1"/>
        <w:ind w:firstLine="0"/>
        <w:jc w:val="center"/>
        <w:rPr>
          <w:rStyle w:val="a3"/>
          <w:b/>
          <w:bCs/>
        </w:rPr>
      </w:pPr>
    </w:p>
    <w:p w:rsidR="00BA45DF" w:rsidRDefault="00F84A95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BA45DF" w:rsidRDefault="00F84A95">
      <w:pPr>
        <w:pStyle w:val="1"/>
        <w:ind w:firstLine="0"/>
        <w:jc w:val="center"/>
        <w:sectPr w:rsidR="00BA45DF">
          <w:pgSz w:w="11900" w:h="16840"/>
          <w:pgMar w:top="1306" w:right="1551" w:bottom="2469" w:left="1786" w:header="878" w:footer="2041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«ФИНАНСОВЫЕ И БАНКОВСКИЕ ОПЕРАЦИИ»</w:t>
      </w:r>
    </w:p>
    <w:p w:rsidR="00BA45DF" w:rsidRDefault="00BA45DF">
      <w:pPr>
        <w:spacing w:line="240" w:lineRule="exact"/>
        <w:rPr>
          <w:sz w:val="19"/>
          <w:szCs w:val="19"/>
        </w:rPr>
      </w:pPr>
    </w:p>
    <w:p w:rsidR="00BA45DF" w:rsidRDefault="00BA45DF">
      <w:pPr>
        <w:spacing w:before="93" w:after="93" w:line="240" w:lineRule="exact"/>
        <w:rPr>
          <w:sz w:val="19"/>
          <w:szCs w:val="19"/>
        </w:rPr>
      </w:pPr>
    </w:p>
    <w:p w:rsidR="00BA45DF" w:rsidRDefault="00BA45DF">
      <w:pPr>
        <w:spacing w:line="1" w:lineRule="exact"/>
        <w:sectPr w:rsidR="00BA45DF">
          <w:type w:val="continuous"/>
          <w:pgSz w:w="11900" w:h="16840"/>
          <w:pgMar w:top="1306" w:right="0" w:bottom="2469" w:left="0" w:header="0" w:footer="3" w:gutter="0"/>
          <w:cols w:space="720"/>
          <w:noEndnote/>
          <w:docGrid w:linePitch="360"/>
        </w:sectPr>
      </w:pPr>
    </w:p>
    <w:p w:rsidR="00BA45DF" w:rsidRDefault="00F84A95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BA45DF" w:rsidRDefault="00F84A95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BA45DF" w:rsidRDefault="00F84A95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BA45DF" w:rsidRDefault="00F84A95">
      <w:pPr>
        <w:pStyle w:val="1"/>
        <w:ind w:firstLine="0"/>
      </w:pPr>
      <w:r>
        <w:rPr>
          <w:rStyle w:val="a3"/>
        </w:rPr>
        <w:t>Форма обучения</w:t>
      </w:r>
    </w:p>
    <w:p w:rsidR="00BA45DF" w:rsidRDefault="00F84A95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BA45DF" w:rsidRDefault="00F84A95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BA45DF" w:rsidRDefault="00F84A95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BA45DF" w:rsidRDefault="00F84A95">
      <w:pPr>
        <w:pStyle w:val="1"/>
        <w:ind w:firstLine="0"/>
        <w:jc w:val="center"/>
        <w:sectPr w:rsidR="00BA45DF">
          <w:type w:val="continuous"/>
          <w:pgSz w:w="11900" w:h="16840"/>
          <w:pgMar w:top="1306" w:right="3144" w:bottom="2469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BA45DF" w:rsidRDefault="00BA45DF">
      <w:pPr>
        <w:spacing w:line="240" w:lineRule="exact"/>
        <w:rPr>
          <w:sz w:val="19"/>
          <w:szCs w:val="19"/>
        </w:rPr>
      </w:pPr>
    </w:p>
    <w:p w:rsidR="00BA45DF" w:rsidRDefault="00BA45DF">
      <w:pPr>
        <w:spacing w:line="240" w:lineRule="exact"/>
        <w:rPr>
          <w:sz w:val="19"/>
          <w:szCs w:val="19"/>
        </w:rPr>
      </w:pPr>
    </w:p>
    <w:p w:rsidR="00BA45DF" w:rsidRDefault="00BA45DF">
      <w:pPr>
        <w:spacing w:line="240" w:lineRule="exact"/>
        <w:rPr>
          <w:sz w:val="19"/>
          <w:szCs w:val="19"/>
        </w:rPr>
      </w:pPr>
    </w:p>
    <w:p w:rsidR="00BA45DF" w:rsidRDefault="00BA45DF">
      <w:pPr>
        <w:spacing w:line="240" w:lineRule="exact"/>
        <w:rPr>
          <w:sz w:val="19"/>
          <w:szCs w:val="19"/>
        </w:rPr>
      </w:pPr>
    </w:p>
    <w:p w:rsidR="00BA45DF" w:rsidRDefault="00BA45DF">
      <w:pPr>
        <w:spacing w:line="240" w:lineRule="exact"/>
        <w:rPr>
          <w:sz w:val="19"/>
          <w:szCs w:val="19"/>
        </w:rPr>
      </w:pPr>
    </w:p>
    <w:p w:rsidR="00BA45DF" w:rsidRDefault="00BA45DF">
      <w:pPr>
        <w:spacing w:line="240" w:lineRule="exact"/>
        <w:rPr>
          <w:sz w:val="19"/>
          <w:szCs w:val="19"/>
        </w:rPr>
      </w:pPr>
    </w:p>
    <w:p w:rsidR="00BA45DF" w:rsidRDefault="00BA45DF">
      <w:pPr>
        <w:spacing w:line="240" w:lineRule="exact"/>
        <w:rPr>
          <w:sz w:val="19"/>
          <w:szCs w:val="19"/>
        </w:rPr>
      </w:pPr>
    </w:p>
    <w:p w:rsidR="00BA45DF" w:rsidRDefault="00BA45DF">
      <w:pPr>
        <w:spacing w:line="240" w:lineRule="exact"/>
        <w:rPr>
          <w:sz w:val="19"/>
          <w:szCs w:val="19"/>
        </w:rPr>
      </w:pPr>
    </w:p>
    <w:p w:rsidR="00BA45DF" w:rsidRDefault="00BA45DF">
      <w:pPr>
        <w:spacing w:line="240" w:lineRule="exact"/>
        <w:rPr>
          <w:sz w:val="19"/>
          <w:szCs w:val="19"/>
        </w:rPr>
      </w:pPr>
    </w:p>
    <w:p w:rsidR="00BA45DF" w:rsidRDefault="00BA45DF">
      <w:pPr>
        <w:spacing w:line="240" w:lineRule="exact"/>
        <w:rPr>
          <w:sz w:val="19"/>
          <w:szCs w:val="19"/>
        </w:rPr>
      </w:pPr>
    </w:p>
    <w:p w:rsidR="00BA45DF" w:rsidRDefault="00BA45DF">
      <w:pPr>
        <w:spacing w:before="19" w:after="19" w:line="240" w:lineRule="exact"/>
        <w:rPr>
          <w:sz w:val="19"/>
          <w:szCs w:val="19"/>
        </w:rPr>
      </w:pPr>
    </w:p>
    <w:p w:rsidR="00BA45DF" w:rsidRDefault="00BA45DF">
      <w:pPr>
        <w:spacing w:line="1" w:lineRule="exact"/>
        <w:sectPr w:rsidR="00BA45DF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BA45DF" w:rsidRDefault="005E5C95">
      <w:pPr>
        <w:pStyle w:val="1"/>
        <w:ind w:firstLine="0"/>
        <w:jc w:val="center"/>
        <w:sectPr w:rsidR="00BA45DF">
          <w:type w:val="continuous"/>
          <w:pgSz w:w="11900" w:h="16840"/>
          <w:pgMar w:top="1306" w:right="562" w:bottom="1306" w:left="1584" w:header="0" w:footer="3" w:gutter="0"/>
          <w:cols w:space="720"/>
          <w:noEndnote/>
          <w:docGrid w:linePitch="360"/>
        </w:sectPr>
      </w:pPr>
      <w:r>
        <w:lastRenderedPageBreak/>
        <w:t xml:space="preserve">Ряза6нь, </w:t>
      </w:r>
      <w:r w:rsidR="00F84A95">
        <w:rPr>
          <w:rStyle w:val="a3"/>
        </w:rPr>
        <w:t>2024 г.</w:t>
      </w:r>
    </w:p>
    <w:p w:rsidR="00BA45DF" w:rsidRDefault="00F84A95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«Финансовые и банковские операции»</w:t>
      </w:r>
      <w:bookmarkEnd w:id="0"/>
    </w:p>
    <w:p w:rsidR="00BA45DF" w:rsidRDefault="00F84A95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</w:t>
      </w:r>
      <w:r>
        <w:rPr>
          <w:rStyle w:val="a3"/>
        </w:rPr>
        <w:t>частью рабочей программы дисциплины и основной профессиональной образовательной программы.</w:t>
      </w:r>
    </w:p>
    <w:p w:rsidR="00BA45DF" w:rsidRDefault="00F84A95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</w:t>
      </w:r>
      <w:r>
        <w:rPr>
          <w:rStyle w:val="a3"/>
        </w:rPr>
        <w:t xml:space="preserve"> используется при проведении текущей и промежуточной аттестации (в период зачетно-экзаменационной сессии).</w:t>
      </w:r>
    </w:p>
    <w:p w:rsidR="00BA45DF" w:rsidRDefault="00F84A95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BA45DF" w:rsidRDefault="00F84A95">
      <w:pPr>
        <w:pStyle w:val="1"/>
        <w:ind w:firstLine="820"/>
        <w:jc w:val="both"/>
      </w:pPr>
      <w:r>
        <w:rPr>
          <w:rStyle w:val="a3"/>
        </w:rPr>
        <w:t>Основными задач</w:t>
      </w:r>
      <w:r>
        <w:rPr>
          <w:rStyle w:val="a3"/>
        </w:rPr>
        <w:t>ами ФОС по учебной дисциплине являются:</w:t>
      </w:r>
    </w:p>
    <w:p w:rsidR="00BA45DF" w:rsidRDefault="00F84A95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BA45DF" w:rsidRDefault="00F84A95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BA45DF" w:rsidRDefault="00F84A95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</w:t>
      </w:r>
      <w:r>
        <w:rPr>
          <w:rStyle w:val="a3"/>
        </w:rPr>
        <w:t xml:space="preserve">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BA45DF" w:rsidRDefault="00F84A95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BA45DF" w:rsidRDefault="00F84A95">
      <w:pPr>
        <w:pStyle w:val="1"/>
        <w:ind w:firstLine="820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</w:p>
    <w:p w:rsidR="00BA45DF" w:rsidRDefault="00F84A95">
      <w:pPr>
        <w:pStyle w:val="1"/>
        <w:ind w:firstLine="0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BA45DF" w:rsidRDefault="00F84A95">
      <w:pPr>
        <w:pStyle w:val="a5"/>
        <w:ind w:left="96"/>
      </w:pPr>
      <w:r>
        <w:rPr>
          <w:rStyle w:val="a4"/>
        </w:rPr>
        <w:t>Процесс освоения дисциплины «Финансовые и банковские операции»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BA45D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A45DF" w:rsidRDefault="00F84A9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A45DF" w:rsidRDefault="00F84A9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A45DF" w:rsidRDefault="00F84A9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рассчитывать и анализировать экономические </w:t>
            </w:r>
            <w:r>
              <w:rPr>
                <w:rStyle w:val="a6"/>
              </w:rPr>
              <w:t>показатели с целью выработки и обоснования управленческих решений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320"/>
            </w:pPr>
            <w:r>
              <w:rPr>
                <w:rStyle w:val="a6"/>
              </w:rPr>
              <w:t>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</w:pPr>
            <w:r>
              <w:rPr>
                <w:rStyle w:val="a6"/>
              </w:rPr>
              <w:t>Взаимодействие с должником на ранних стадиях взыскания задолженности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320"/>
            </w:pPr>
            <w:r>
              <w:rPr>
                <w:rStyle w:val="a6"/>
              </w:rPr>
              <w:t>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</w:pPr>
            <w:r>
              <w:rPr>
                <w:rStyle w:val="a6"/>
              </w:rPr>
              <w:t>Обеспечение проведения сделок кредитования корпоративных заемщиков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260"/>
            </w:pPr>
            <w:r>
              <w:rPr>
                <w:rStyle w:val="a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320"/>
            </w:pPr>
            <w:r>
              <w:rPr>
                <w:rStyle w:val="a6"/>
              </w:rPr>
              <w:t>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</w:pPr>
            <w:r>
              <w:rPr>
                <w:rStyle w:val="a6"/>
              </w:rPr>
              <w:t xml:space="preserve">Проведение комплекса </w:t>
            </w:r>
            <w:r>
              <w:rPr>
                <w:rStyle w:val="a6"/>
              </w:rPr>
              <w:t>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 w:rsidR="00BA45DF" w:rsidRDefault="00BA45DF">
      <w:pPr>
        <w:spacing w:after="259" w:line="1" w:lineRule="exact"/>
      </w:pPr>
    </w:p>
    <w:p w:rsidR="00BA45DF" w:rsidRDefault="00F84A95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963"/>
        <w:gridCol w:w="1272"/>
        <w:gridCol w:w="1133"/>
      </w:tblGrid>
      <w:tr w:rsidR="00BA45DF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BA45DF">
            <w:pPr>
              <w:pStyle w:val="a7"/>
              <w:spacing w:line="125" w:lineRule="auto"/>
              <w:ind w:left="140" w:firstLine="60"/>
            </w:pPr>
            <w:bookmarkStart w:id="1" w:name="_GoBack"/>
            <w:bookmarkEnd w:id="1"/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</w:pPr>
            <w:r>
              <w:rPr>
                <w:rStyle w:val="a6"/>
              </w:rPr>
              <w:t>Общая</w:t>
            </w:r>
          </w:p>
          <w:p w:rsidR="00BA45DF" w:rsidRDefault="00F84A95">
            <w:pPr>
              <w:pStyle w:val="a7"/>
              <w:ind w:firstLine="0"/>
            </w:pPr>
            <w:r>
              <w:rPr>
                <w:rStyle w:val="a6"/>
              </w:rPr>
              <w:t>характеристика и виды банковских операций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Правовые основы деятельности коммерческих банков. Виды банковских операций.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BA45DF" w:rsidRDefault="00F84A95">
            <w:pPr>
              <w:pStyle w:val="a7"/>
              <w:ind w:firstLine="300"/>
            </w:pPr>
            <w:r>
              <w:rPr>
                <w:rStyle w:val="a6"/>
              </w:rPr>
              <w:t>ПК-4</w:t>
            </w:r>
          </w:p>
          <w:p w:rsidR="00BA45DF" w:rsidRDefault="00F84A95">
            <w:pPr>
              <w:pStyle w:val="a7"/>
              <w:ind w:firstLine="300"/>
            </w:pPr>
            <w:r>
              <w:rPr>
                <w:rStyle w:val="a6"/>
              </w:rPr>
              <w:t>ПК-5</w:t>
            </w:r>
          </w:p>
          <w:p w:rsidR="00BA45DF" w:rsidRDefault="00F84A95">
            <w:pPr>
              <w:pStyle w:val="a7"/>
              <w:ind w:firstLine="300"/>
            </w:pPr>
            <w:r>
              <w:rPr>
                <w:rStyle w:val="a6"/>
              </w:rPr>
              <w:t>ПК-6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0"/>
            </w:pPr>
            <w:r>
              <w:rPr>
                <w:rStyle w:val="a6"/>
              </w:rPr>
              <w:t>Активные и пассивные банковские операции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Собственные средства. Привлеченные средства (обязательства банка). Анализ </w:t>
            </w:r>
            <w:r>
              <w:rPr>
                <w:rStyle w:val="a6"/>
              </w:rPr>
              <w:t>структуры пассивов банка. Структура активных операций банка. Анализ качества активов банка. Анализ рискованности активов. Анализ доходности активов. Анализ ликвидности активов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BA45DF" w:rsidRDefault="00F84A95">
            <w:pPr>
              <w:pStyle w:val="a7"/>
              <w:ind w:firstLine="300"/>
            </w:pPr>
            <w:r>
              <w:rPr>
                <w:rStyle w:val="a6"/>
              </w:rPr>
              <w:t>ПК-4</w:t>
            </w:r>
          </w:p>
          <w:p w:rsidR="00BA45DF" w:rsidRDefault="00F84A95">
            <w:pPr>
              <w:pStyle w:val="a7"/>
              <w:ind w:firstLine="300"/>
            </w:pPr>
            <w:r>
              <w:rPr>
                <w:rStyle w:val="a6"/>
              </w:rPr>
              <w:t>ПК-5</w:t>
            </w:r>
          </w:p>
          <w:p w:rsidR="00BA45DF" w:rsidRDefault="00F84A95">
            <w:pPr>
              <w:pStyle w:val="a7"/>
              <w:ind w:firstLine="300"/>
            </w:pPr>
            <w:r>
              <w:rPr>
                <w:rStyle w:val="a6"/>
              </w:rPr>
              <w:t>ПК-6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</w:pPr>
            <w:r>
              <w:rPr>
                <w:rStyle w:val="a6"/>
              </w:rPr>
              <w:t xml:space="preserve">Расчетно-кассовые и кредитные операции коммерческих </w:t>
            </w:r>
            <w:r>
              <w:rPr>
                <w:rStyle w:val="a6"/>
              </w:rPr>
              <w:t>банков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Национальная платежная система как способорганизации расчетно-кассовых операцийкоммерческих банков. Виды расчетно-кассовых операций,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BA45DF" w:rsidRDefault="00F84A95">
            <w:pPr>
              <w:pStyle w:val="a7"/>
              <w:ind w:firstLine="300"/>
            </w:pPr>
            <w:r>
              <w:rPr>
                <w:rStyle w:val="a6"/>
              </w:rPr>
              <w:t>ПК-4</w:t>
            </w:r>
          </w:p>
          <w:p w:rsidR="00BA45DF" w:rsidRDefault="00F84A95">
            <w:pPr>
              <w:pStyle w:val="a7"/>
              <w:ind w:firstLine="300"/>
            </w:pPr>
            <w:r>
              <w:rPr>
                <w:rStyle w:val="a6"/>
              </w:rPr>
              <w:t>ПК-5</w:t>
            </w:r>
          </w:p>
          <w:p w:rsidR="00BA45DF" w:rsidRDefault="00F84A95">
            <w:pPr>
              <w:pStyle w:val="a7"/>
              <w:ind w:firstLine="300"/>
            </w:pPr>
            <w:r>
              <w:rPr>
                <w:rStyle w:val="a6"/>
              </w:rPr>
              <w:t>ПК-6</w:t>
            </w:r>
          </w:p>
        </w:tc>
      </w:tr>
    </w:tbl>
    <w:p w:rsidR="00BA45DF" w:rsidRDefault="00F84A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963"/>
        <w:gridCol w:w="1272"/>
        <w:gridCol w:w="1133"/>
      </w:tblGrid>
      <w:tr w:rsidR="00BA45DF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BA45DF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характеристикасчетов для проведения расчетов через банк. Безналичные расчеты. Принципы и </w:t>
            </w:r>
            <w:r>
              <w:rPr>
                <w:rStyle w:val="a6"/>
              </w:rPr>
              <w:t>формы безналичных расчетов. Расчеты платежными поручениями. Расчеты платежными требованиями. Расчеты аккредитивами. Расчеты по инкассо. Расчеты векселями. Расчеты чеками. Клиринговые расчеты. Способы осуществления расчетных операций. Централизованные расче</w:t>
            </w:r>
            <w:r>
              <w:rPr>
                <w:rStyle w:val="a6"/>
              </w:rPr>
              <w:t>ты. Децентрализованные расчеты. Кассовые операции. Организация кредитной политики банкаи классификация ссуд. Кредитные риски. Порядок предоставления кредита. Оценка финансового состояния заемщика. Анализ кредитных операций банка.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BA45D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5DF" w:rsidRDefault="00BA45DF">
            <w:pPr>
              <w:rPr>
                <w:sz w:val="10"/>
                <w:szCs w:val="10"/>
              </w:rPr>
            </w:pP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0"/>
            </w:pPr>
            <w:r>
              <w:rPr>
                <w:rStyle w:val="a6"/>
              </w:rPr>
              <w:t xml:space="preserve">Общая характеристика </w:t>
            </w:r>
            <w:r>
              <w:rPr>
                <w:rStyle w:val="a6"/>
              </w:rPr>
              <w:t>финансовых операций.</w:t>
            </w:r>
          </w:p>
          <w:p w:rsidR="00BA45DF" w:rsidRDefault="00F84A95">
            <w:pPr>
              <w:pStyle w:val="a7"/>
              <w:ind w:firstLine="0"/>
            </w:pPr>
            <w:r>
              <w:rPr>
                <w:rStyle w:val="a6"/>
              </w:rPr>
              <w:t xml:space="preserve">Финансовые операции на </w:t>
            </w:r>
            <w:proofErr w:type="gramStart"/>
            <w:r>
              <w:rPr>
                <w:rStyle w:val="a6"/>
              </w:rPr>
              <w:t>кредитном</w:t>
            </w:r>
            <w:proofErr w:type="gramEnd"/>
            <w:r>
              <w:rPr>
                <w:rStyle w:val="a6"/>
              </w:rPr>
              <w:t xml:space="preserve"> и фондовых рынках.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Общая характеристика финансовых рынков и финансовых операций. Взаимодействие участников финансовогорынка. Понятие, функции, структура и инструменты финансового рынка. Понятие и виды ф</w:t>
            </w:r>
            <w:r>
              <w:rPr>
                <w:rStyle w:val="a6"/>
              </w:rPr>
              <w:t>инансовых операций. Роль финансовых рынков в хозяйствующей деятельности агентов и экономике в целом.</w:t>
            </w:r>
          </w:p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</w:rPr>
              <w:t>Участники финансового рынка и их взаимодействие.</w:t>
            </w:r>
          </w:p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</w:rPr>
              <w:t>Нормативно-правовое регулирование операций на финансовых рынках. Общая характеристика кредитного рынка. По</w:t>
            </w:r>
            <w:r>
              <w:rPr>
                <w:rStyle w:val="a6"/>
              </w:rPr>
              <w:t xml:space="preserve">нятие и функции кредитного рынка. Участники кредитных отношений. Виды операций на кредитном рынке. Классификация кредитов. Операции на кредитном рынке. Лизинговые, факторинговые, форфейтинговые операции. Срочные операции кредитного рынка. Операции репо и </w:t>
            </w:r>
            <w:proofErr w:type="gramStart"/>
            <w:r>
              <w:rPr>
                <w:rStyle w:val="a6"/>
              </w:rPr>
              <w:t>о</w:t>
            </w:r>
            <w:r>
              <w:rPr>
                <w:rStyle w:val="a6"/>
              </w:rPr>
              <w:t>братного</w:t>
            </w:r>
            <w:proofErr w:type="gramEnd"/>
            <w:r>
              <w:rPr>
                <w:rStyle w:val="a6"/>
              </w:rPr>
              <w:t xml:space="preserve"> репо. Нормативно - правовое регулирование операций на кредитном рынке.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ПК-4</w:t>
            </w:r>
          </w:p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ПК-5</w:t>
            </w:r>
          </w:p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ПК-6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0"/>
            </w:pPr>
            <w:r>
              <w:rPr>
                <w:rStyle w:val="a6"/>
              </w:rPr>
              <w:t xml:space="preserve">Финансовые операции на </w:t>
            </w:r>
            <w:proofErr w:type="gramStart"/>
            <w:r>
              <w:rPr>
                <w:rStyle w:val="a6"/>
              </w:rPr>
              <w:t>валютном</w:t>
            </w:r>
            <w:proofErr w:type="gramEnd"/>
            <w:r>
              <w:rPr>
                <w:rStyle w:val="a6"/>
              </w:rPr>
              <w:t xml:space="preserve"> и страховых рынках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Общая характеристика валютного рынка</w:t>
            </w:r>
            <w:proofErr w:type="gramStart"/>
            <w:r>
              <w:rPr>
                <w:rStyle w:val="a6"/>
              </w:rPr>
              <w:t>.П</w:t>
            </w:r>
            <w:proofErr w:type="gramEnd"/>
            <w:r>
              <w:rPr>
                <w:rStyle w:val="a6"/>
              </w:rPr>
              <w:t xml:space="preserve">онятие, функции, структура и инструменты валютного рынка. </w:t>
            </w:r>
            <w:r>
              <w:rPr>
                <w:rStyle w:val="a6"/>
              </w:rPr>
              <w:t>Участники операций на валютном рынке.</w:t>
            </w:r>
          </w:p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</w:rPr>
              <w:t>Операции на валютном рынке. Спотовые и срочные валютные операции.</w:t>
            </w:r>
          </w:p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</w:rPr>
              <w:t>Нормативно - правовое регулирование валютных операций.</w:t>
            </w:r>
          </w:p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Страховой рынок. Понятие, функции, структура и инструменты страхового рынка. Участники рынка стра</w:t>
            </w:r>
            <w:r>
              <w:rPr>
                <w:rStyle w:val="a6"/>
              </w:rPr>
              <w:t>хования. Классификация видов страхования. Финансовые операции на страховом рынке. Нормативно – правовое регулирование страхового рынка.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ПК-4</w:t>
            </w:r>
          </w:p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ПК-5</w:t>
            </w:r>
          </w:p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ПК-6</w:t>
            </w:r>
          </w:p>
        </w:tc>
      </w:tr>
    </w:tbl>
    <w:p w:rsidR="00BA45DF" w:rsidRDefault="00F84A95">
      <w:pPr>
        <w:spacing w:line="1" w:lineRule="exact"/>
        <w:rPr>
          <w:sz w:val="2"/>
          <w:szCs w:val="2"/>
        </w:rPr>
      </w:pPr>
      <w:r>
        <w:br w:type="page"/>
      </w:r>
    </w:p>
    <w:p w:rsidR="00BA45DF" w:rsidRDefault="00F84A95">
      <w:pPr>
        <w:pStyle w:val="a5"/>
        <w:ind w:left="806"/>
      </w:pPr>
      <w:r>
        <w:rPr>
          <w:rStyle w:val="a4"/>
          <w:b/>
          <w:bCs/>
        </w:rPr>
        <w:lastRenderedPageBreak/>
        <w:t>2. Соответствие уровня освоения компетенции планируемым результатам</w:t>
      </w:r>
    </w:p>
    <w:p w:rsidR="00BA45DF" w:rsidRDefault="00F84A95">
      <w:pPr>
        <w:pStyle w:val="a5"/>
        <w:ind w:left="96"/>
      </w:pPr>
      <w:r>
        <w:rPr>
          <w:rStyle w:val="a4"/>
          <w:b/>
          <w:bCs/>
        </w:rPr>
        <w:t xml:space="preserve">обучения и критериям их </w:t>
      </w:r>
      <w:r>
        <w:rPr>
          <w:rStyle w:val="a4"/>
          <w:b/>
          <w:bCs/>
        </w:rPr>
        <w:t>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BA45D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A45DF" w:rsidRDefault="00F84A9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A45DF" w:rsidRDefault="00F84A9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A45DF" w:rsidRDefault="00F84A9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рассчитывать и анализировать экономические показатели с целью выработки и обоснования управленческих решений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320"/>
            </w:pPr>
            <w:r>
              <w:rPr>
                <w:rStyle w:val="a6"/>
              </w:rPr>
              <w:t>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</w:pPr>
            <w:r>
              <w:rPr>
                <w:rStyle w:val="a6"/>
              </w:rPr>
              <w:t>Взаимодействие с должником на ранних стадиях взыскания задолженности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320"/>
            </w:pPr>
            <w:r>
              <w:rPr>
                <w:rStyle w:val="a6"/>
              </w:rPr>
              <w:t>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</w:pPr>
            <w:r>
              <w:rPr>
                <w:rStyle w:val="a6"/>
              </w:rPr>
              <w:t>Обеспечение проведения сделок кредитования корпоративных заемщиков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260"/>
            </w:pPr>
            <w:r>
              <w:rPr>
                <w:rStyle w:val="a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320"/>
            </w:pPr>
            <w:r>
              <w:rPr>
                <w:rStyle w:val="a6"/>
              </w:rPr>
              <w:t>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</w:pPr>
            <w:r>
              <w:rPr>
                <w:rStyle w:val="a6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 w:rsidR="00BA45DF" w:rsidRDefault="00BA45DF">
      <w:pPr>
        <w:sectPr w:rsidR="00BA45DF">
          <w:pgSz w:w="11900" w:h="16840"/>
          <w:pgMar w:top="1129" w:right="591" w:bottom="598" w:left="1556" w:header="701" w:footer="17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258"/>
        <w:gridCol w:w="2270"/>
        <w:gridCol w:w="2069"/>
        <w:gridCol w:w="2011"/>
        <w:gridCol w:w="1992"/>
      </w:tblGrid>
      <w:tr w:rsidR="00BA45D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45DF" w:rsidRDefault="00BA45DF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45DF" w:rsidRDefault="00BA45DF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6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553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tabs>
                <w:tab w:val="left" w:pos="148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BA45DF" w:rsidRDefault="00F84A95">
            <w:pPr>
              <w:pStyle w:val="a7"/>
              <w:tabs>
                <w:tab w:val="right" w:pos="23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осуществлять сбор и анализ информации </w:t>
            </w:r>
            <w:r>
              <w:rPr>
                <w:rStyle w:val="a6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</w:t>
            </w:r>
            <w:r>
              <w:rPr>
                <w:rStyle w:val="a6"/>
                <w:sz w:val="20"/>
                <w:szCs w:val="20"/>
              </w:rPr>
              <w:tab/>
              <w:t>анализа,</w:t>
            </w:r>
          </w:p>
          <w:p w:rsidR="00BA45DF" w:rsidRDefault="00F84A95">
            <w:pPr>
              <w:pStyle w:val="a7"/>
              <w:tabs>
                <w:tab w:val="right" w:pos="22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о состоянии и перспективах</w:t>
            </w:r>
            <w:r>
              <w:rPr>
                <w:rStyle w:val="a6"/>
                <w:sz w:val="20"/>
                <w:szCs w:val="20"/>
              </w:rPr>
              <w:tab/>
              <w:t>рынка,</w:t>
            </w:r>
          </w:p>
          <w:p w:rsidR="00BA45DF" w:rsidRDefault="00F84A95">
            <w:pPr>
              <w:pStyle w:val="a7"/>
              <w:tabs>
                <w:tab w:val="left" w:pos="1099"/>
                <w:tab w:val="right" w:pos="23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изменении</w:t>
            </w:r>
          </w:p>
          <w:p w:rsidR="00BA45DF" w:rsidRDefault="00F84A95">
            <w:pPr>
              <w:pStyle w:val="a7"/>
              <w:tabs>
                <w:tab w:val="left" w:pos="859"/>
                <w:tab w:val="right" w:pos="22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курсов</w:t>
            </w:r>
            <w:r>
              <w:rPr>
                <w:rStyle w:val="a6"/>
                <w:sz w:val="20"/>
                <w:szCs w:val="20"/>
              </w:rPr>
              <w:tab/>
              <w:t>ценных</w:t>
            </w:r>
            <w:r>
              <w:rPr>
                <w:rStyle w:val="a6"/>
                <w:sz w:val="20"/>
                <w:szCs w:val="20"/>
              </w:rPr>
              <w:tab/>
              <w:t>бумаг,</w:t>
            </w:r>
          </w:p>
          <w:p w:rsidR="00BA45DF" w:rsidRDefault="00F84A95">
            <w:pPr>
              <w:pStyle w:val="a7"/>
              <w:tabs>
                <w:tab w:val="right" w:pos="22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BA45DF" w:rsidRDefault="00F84A95">
            <w:pPr>
              <w:pStyle w:val="a7"/>
              <w:tabs>
                <w:tab w:val="left" w:pos="907"/>
                <w:tab w:val="right" w:pos="23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продуктам и услугам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</w:t>
            </w:r>
            <w:r>
              <w:rPr>
                <w:rStyle w:val="a6"/>
                <w:sz w:val="20"/>
                <w:szCs w:val="20"/>
              </w:rPr>
              <w:t>транной валюты, условий по банковским продуктам и услугам</w:t>
            </w:r>
          </w:p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</w:t>
            </w:r>
            <w:r>
              <w:rPr>
                <w:rStyle w:val="a6"/>
                <w:sz w:val="20"/>
                <w:szCs w:val="20"/>
              </w:rPr>
              <w:t>вах рынка, тенденции в изменении курсов ценных бумаг, иностранной валюты, условий по банковским продуктам и услугам</w:t>
            </w:r>
          </w:p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осуществлять сбор и анализ информации характеризующей деятельность хозяйствующих субъектов, формулироват</w:t>
            </w:r>
            <w:r>
              <w:rPr>
                <w:rStyle w:val="a6"/>
                <w:sz w:val="20"/>
                <w:szCs w:val="20"/>
              </w:rPr>
              <w:t>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</w:t>
            </w:r>
            <w:r>
              <w:rPr>
                <w:rStyle w:val="a6"/>
                <w:sz w:val="20"/>
                <w:szCs w:val="20"/>
              </w:rPr>
              <w:t xml:space="preserve">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</w:t>
            </w:r>
            <w:r>
              <w:rPr>
                <w:rStyle w:val="a6"/>
                <w:sz w:val="20"/>
                <w:szCs w:val="20"/>
              </w:rPr>
              <w:t>.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ПК-4. Взаимодействие с должником на ранних стадиях взыскания задолженности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виды кредитования, принципы оплаты кредита, правила возвратности кредита в соответствии с установленным графиком платежей;</w:t>
            </w:r>
          </w:p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выбирать </w:t>
            </w:r>
            <w:r>
              <w:rPr>
                <w:rStyle w:val="a6"/>
                <w:sz w:val="20"/>
                <w:szCs w:val="20"/>
              </w:rPr>
              <w:t>формы и методы взаимодействия с заемщиком, имеющим просроченную задолженность.</w:t>
            </w:r>
          </w:p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навыков: </w:t>
            </w:r>
            <w:r>
              <w:rPr>
                <w:rStyle w:val="a6"/>
                <w:sz w:val="20"/>
                <w:szCs w:val="20"/>
              </w:rPr>
              <w:t>Владеет практическими навыками выбора на основании полученных данных стратегии, тактики и методов работы с заемщиком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</w:t>
            </w:r>
            <w:r>
              <w:rPr>
                <w:rStyle w:val="a6"/>
                <w:sz w:val="20"/>
                <w:szCs w:val="20"/>
              </w:rPr>
              <w:t>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</w:t>
            </w:r>
            <w:r>
              <w:rPr>
                <w:rStyle w:val="a6"/>
                <w:sz w:val="20"/>
                <w:szCs w:val="20"/>
              </w:rPr>
              <w:t>истематическое владение навыками.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ПК-5. Обеспечение проведения сделок кредитования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Знает порядок оформления выдачи кредита, в том числе путем открытия кредитной линии с лимитом задолженности и </w:t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</w:t>
            </w:r>
            <w:r>
              <w:rPr>
                <w:rStyle w:val="a6"/>
                <w:sz w:val="20"/>
                <w:szCs w:val="20"/>
              </w:rPr>
              <w:t>целом успешная, но не систематичная демонстрация знаний,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Владение полной системой знаний, </w:t>
            </w:r>
            <w:proofErr w:type="gramStart"/>
            <w:r>
              <w:rPr>
                <w:rStyle w:val="a6"/>
                <w:sz w:val="20"/>
                <w:szCs w:val="20"/>
              </w:rPr>
              <w:t>сформированные</w:t>
            </w:r>
            <w:proofErr w:type="gramEnd"/>
          </w:p>
        </w:tc>
      </w:tr>
    </w:tbl>
    <w:p w:rsidR="00BA45DF" w:rsidRDefault="00F84A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258"/>
        <w:gridCol w:w="2270"/>
        <w:gridCol w:w="2069"/>
        <w:gridCol w:w="2011"/>
        <w:gridCol w:w="1992"/>
      </w:tblGrid>
      <w:tr w:rsidR="00BA45DF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lastRenderedPageBreak/>
              <w:t>корпоративных заемщиков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лимитом выдачи;</w:t>
            </w:r>
          </w:p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оформлять кредитную </w:t>
            </w:r>
            <w:r>
              <w:rPr>
                <w:rStyle w:val="a6"/>
                <w:sz w:val="20"/>
                <w:szCs w:val="20"/>
              </w:rPr>
              <w:t>документацию и кредитное досье.</w:t>
            </w:r>
          </w:p>
          <w:p w:rsidR="00BA45DF" w:rsidRDefault="00F84A95">
            <w:pPr>
              <w:pStyle w:val="a7"/>
              <w:tabs>
                <w:tab w:val="right" w:pos="4027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навыков: </w:t>
            </w:r>
            <w:r>
              <w:rPr>
                <w:rStyle w:val="a6"/>
                <w:sz w:val="20"/>
                <w:szCs w:val="20"/>
              </w:rPr>
              <w:t>владеет практическими навыками проверки комплектности,</w:t>
            </w:r>
            <w:r>
              <w:rPr>
                <w:rStyle w:val="a6"/>
                <w:sz w:val="20"/>
                <w:szCs w:val="20"/>
              </w:rPr>
              <w:tab/>
              <w:t>сроков</w:t>
            </w:r>
          </w:p>
          <w:p w:rsidR="00BA45DF" w:rsidRDefault="00F84A95">
            <w:pPr>
              <w:pStyle w:val="a7"/>
              <w:tabs>
                <w:tab w:val="left" w:pos="1008"/>
                <w:tab w:val="left" w:pos="30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действия,</w:t>
            </w:r>
            <w:r>
              <w:rPr>
                <w:rStyle w:val="a6"/>
                <w:sz w:val="20"/>
                <w:szCs w:val="20"/>
              </w:rPr>
              <w:tab/>
              <w:t>соответствия форм,</w:t>
            </w:r>
            <w:r>
              <w:rPr>
                <w:rStyle w:val="a6"/>
                <w:sz w:val="20"/>
                <w:szCs w:val="20"/>
              </w:rPr>
              <w:tab/>
              <w:t>полноты и</w:t>
            </w:r>
          </w:p>
          <w:p w:rsidR="00BA45DF" w:rsidRDefault="00F84A95">
            <w:pPr>
              <w:pStyle w:val="a7"/>
              <w:tabs>
                <w:tab w:val="left" w:pos="1618"/>
                <w:tab w:val="left" w:pos="304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правильности</w:t>
            </w:r>
            <w:r>
              <w:rPr>
                <w:rStyle w:val="a6"/>
                <w:sz w:val="20"/>
                <w:szCs w:val="20"/>
              </w:rPr>
              <w:tab/>
              <w:t>заполнения</w:t>
            </w:r>
            <w:r>
              <w:rPr>
                <w:rStyle w:val="a6"/>
                <w:sz w:val="20"/>
                <w:szCs w:val="20"/>
              </w:rPr>
              <w:tab/>
              <w:t>документов,</w:t>
            </w:r>
          </w:p>
          <w:p w:rsidR="00BA45DF" w:rsidRDefault="00F84A95">
            <w:pPr>
              <w:pStyle w:val="a7"/>
              <w:tabs>
                <w:tab w:val="left" w:pos="1430"/>
                <w:tab w:val="left" w:pos="2040"/>
                <w:tab w:val="left" w:pos="3317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необходимых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для</w:t>
            </w:r>
            <w:r>
              <w:rPr>
                <w:rStyle w:val="a6"/>
                <w:sz w:val="20"/>
                <w:szCs w:val="20"/>
              </w:rPr>
              <w:tab/>
              <w:t>подписания</w:t>
            </w:r>
            <w:r>
              <w:rPr>
                <w:rStyle w:val="a6"/>
                <w:sz w:val="20"/>
                <w:szCs w:val="20"/>
              </w:rPr>
              <w:tab/>
              <w:t>договора</w:t>
            </w:r>
          </w:p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потребительского кредита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BA45D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умений</w:t>
            </w:r>
            <w:r>
              <w:rPr>
                <w:rStyle w:val="a6"/>
                <w:sz w:val="20"/>
                <w:szCs w:val="20"/>
              </w:rPr>
              <w:t xml:space="preserve">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умения, успешное и систематическое</w:t>
            </w:r>
          </w:p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навыками.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tabs>
                <w:tab w:val="left" w:pos="13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ПК-6.</w:t>
            </w:r>
            <w:r>
              <w:rPr>
                <w:rStyle w:val="a6"/>
                <w:sz w:val="20"/>
                <w:szCs w:val="20"/>
              </w:rPr>
              <w:tab/>
              <w:t>Проведение</w:t>
            </w:r>
          </w:p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комплекса мероприятий для определения целесообразности предоставления потенциальному заемщику потребительского </w:t>
            </w:r>
            <w:r>
              <w:rPr>
                <w:rStyle w:val="a6"/>
                <w:sz w:val="20"/>
                <w:szCs w:val="20"/>
              </w:rPr>
              <w:t>кредита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основные методы оценки кредитоспособности заемщика.</w:t>
            </w:r>
          </w:p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>Умеет предлагать клиентам кредитные программы в соответствии с их целями и финансовыми возможностями.</w:t>
            </w:r>
          </w:p>
          <w:p w:rsidR="00BA45DF" w:rsidRDefault="00F84A9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практические навыки консу</w:t>
            </w:r>
            <w:r>
              <w:rPr>
                <w:rStyle w:val="a6"/>
                <w:sz w:val="20"/>
                <w:szCs w:val="20"/>
              </w:rPr>
              <w:t>льтирования клиента по вопросам предоставления кредита и обеспечения возвратности кредита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</w:t>
            </w:r>
            <w:r>
              <w:rPr>
                <w:rStyle w:val="a6"/>
                <w:sz w:val="20"/>
                <w:szCs w:val="20"/>
              </w:rPr>
              <w:t>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BA45DF" w:rsidRDefault="00BA45DF">
      <w:pPr>
        <w:sectPr w:rsidR="00BA45DF">
          <w:pgSz w:w="16840" w:h="11900" w:orient="landscape"/>
          <w:pgMar w:top="1416" w:right="696" w:bottom="429" w:left="1018" w:header="988" w:footer="1" w:gutter="0"/>
          <w:cols w:space="720"/>
          <w:noEndnote/>
          <w:docGrid w:linePitch="360"/>
        </w:sectPr>
      </w:pPr>
    </w:p>
    <w:p w:rsidR="00BA45DF" w:rsidRDefault="00F84A95">
      <w:pPr>
        <w:pStyle w:val="20"/>
        <w:keepNext/>
        <w:keepLines/>
        <w:numPr>
          <w:ilvl w:val="0"/>
          <w:numId w:val="2"/>
        </w:numPr>
        <w:tabs>
          <w:tab w:val="left" w:pos="1133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 xml:space="preserve">Фонд оценочных средств и материалы текущего контроля успеваемости </w:t>
      </w:r>
      <w:r>
        <w:rPr>
          <w:rStyle w:val="2"/>
          <w:b/>
          <w:bCs/>
        </w:rPr>
        <w:t>обучающихся и промежуточной аттестации по дисциплине</w:t>
      </w:r>
      <w:bookmarkEnd w:id="2"/>
    </w:p>
    <w:p w:rsidR="00BA45DF" w:rsidRDefault="00F84A95">
      <w:pPr>
        <w:pStyle w:val="1"/>
        <w:numPr>
          <w:ilvl w:val="1"/>
          <w:numId w:val="2"/>
        </w:numPr>
        <w:tabs>
          <w:tab w:val="left" w:pos="1242"/>
        </w:tabs>
        <w:ind w:firstLine="720"/>
        <w:jc w:val="both"/>
      </w:pPr>
      <w:r>
        <w:rPr>
          <w:rStyle w:val="a3"/>
        </w:rPr>
        <w:t xml:space="preserve">В ходе реализации дисциплины «Финансовые и банковские операции»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опрос.</w:t>
      </w:r>
    </w:p>
    <w:p w:rsidR="00BA45DF" w:rsidRDefault="00F84A95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</w:t>
      </w:r>
      <w:r>
        <w:rPr>
          <w:rStyle w:val="a3"/>
        </w:rPr>
        <w:t xml:space="preserve">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BA45DF" w:rsidRDefault="00F84A95">
      <w:pPr>
        <w:pStyle w:val="1"/>
        <w:numPr>
          <w:ilvl w:val="0"/>
          <w:numId w:val="3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BA45DF" w:rsidRDefault="00F84A95">
      <w:pPr>
        <w:pStyle w:val="1"/>
        <w:numPr>
          <w:ilvl w:val="0"/>
          <w:numId w:val="3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BA45DF" w:rsidRDefault="00F84A95">
      <w:pPr>
        <w:pStyle w:val="1"/>
        <w:ind w:firstLine="720"/>
        <w:jc w:val="both"/>
      </w:pPr>
      <w:r>
        <w:rPr>
          <w:rStyle w:val="a3"/>
        </w:rPr>
        <w:t xml:space="preserve">Детализация баллов и критерии оценки текущего </w:t>
      </w:r>
      <w:r>
        <w:rPr>
          <w:rStyle w:val="a3"/>
        </w:rPr>
        <w:t>контроля успеваемости утверждается на заседании кафедры.</w:t>
      </w:r>
    </w:p>
    <w:p w:rsidR="00BA45DF" w:rsidRDefault="00F84A95">
      <w:pPr>
        <w:pStyle w:val="1"/>
        <w:numPr>
          <w:ilvl w:val="1"/>
          <w:numId w:val="2"/>
        </w:numPr>
        <w:tabs>
          <w:tab w:val="left" w:pos="1853"/>
        </w:tabs>
        <w:spacing w:after="260"/>
        <w:ind w:firstLine="720"/>
      </w:pPr>
      <w:r>
        <w:rPr>
          <w:rStyle w:val="a3"/>
        </w:rPr>
        <w:t>Форма проведения промежуточной аттестации – зачет.</w:t>
      </w:r>
    </w:p>
    <w:p w:rsidR="00BA45DF" w:rsidRDefault="00F84A95">
      <w:pPr>
        <w:pStyle w:val="20"/>
        <w:keepNext/>
        <w:keepLines/>
        <w:numPr>
          <w:ilvl w:val="2"/>
          <w:numId w:val="2"/>
        </w:numPr>
        <w:tabs>
          <w:tab w:val="left" w:pos="14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BA45DF" w:rsidRDefault="00F84A95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</w:t>
      </w:r>
      <w:r>
        <w:rPr>
          <w:rStyle w:val="a3"/>
        </w:rPr>
        <w:t>ам.</w:t>
      </w:r>
    </w:p>
    <w:p w:rsidR="00BA45DF" w:rsidRDefault="00F84A95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BA45DF" w:rsidRDefault="00F84A95">
      <w:pPr>
        <w:pStyle w:val="1"/>
        <w:numPr>
          <w:ilvl w:val="0"/>
          <w:numId w:val="4"/>
        </w:numPr>
        <w:tabs>
          <w:tab w:val="left" w:pos="1054"/>
        </w:tabs>
        <w:ind w:firstLine="720"/>
      </w:pPr>
      <w:r>
        <w:rPr>
          <w:rStyle w:val="a3"/>
        </w:rPr>
        <w:t>Возникновение и основные этапы развития банковской системы в России.</w:t>
      </w:r>
    </w:p>
    <w:p w:rsidR="00BA45DF" w:rsidRDefault="00F84A95">
      <w:pPr>
        <w:pStyle w:val="1"/>
        <w:numPr>
          <w:ilvl w:val="0"/>
          <w:numId w:val="4"/>
        </w:numPr>
        <w:tabs>
          <w:tab w:val="left" w:pos="1078"/>
        </w:tabs>
        <w:ind w:firstLine="720"/>
      </w:pPr>
      <w:r>
        <w:rPr>
          <w:rStyle w:val="a3"/>
        </w:rPr>
        <w:t>Роль банков в экономике страны.</w:t>
      </w:r>
    </w:p>
    <w:p w:rsidR="00BA45DF" w:rsidRDefault="00F84A95">
      <w:pPr>
        <w:pStyle w:val="1"/>
        <w:numPr>
          <w:ilvl w:val="0"/>
          <w:numId w:val="4"/>
        </w:numPr>
        <w:tabs>
          <w:tab w:val="left" w:pos="1074"/>
        </w:tabs>
        <w:ind w:firstLine="720"/>
      </w:pPr>
      <w:r>
        <w:rPr>
          <w:rStyle w:val="a3"/>
        </w:rPr>
        <w:t>Роль банков как финансовых посредников.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</w:pPr>
      <w:r>
        <w:rPr>
          <w:rStyle w:val="a3"/>
        </w:rPr>
        <w:t>Типы банков, особенности их организации и функционирования.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</w:pPr>
      <w:r>
        <w:rPr>
          <w:rStyle w:val="a3"/>
        </w:rPr>
        <w:t xml:space="preserve">Иностранные банки на </w:t>
      </w:r>
      <w:r>
        <w:rPr>
          <w:rStyle w:val="a3"/>
        </w:rPr>
        <w:t>российском рынке.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</w:pPr>
      <w:r>
        <w:rPr>
          <w:rStyle w:val="a3"/>
        </w:rPr>
        <w:t>Основные проблемы развития банковской системы на современном этапе.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</w:pPr>
      <w:r>
        <w:rPr>
          <w:rStyle w:val="a3"/>
        </w:rPr>
        <w:t>Процедура создания, регистрации и лицензирования банка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</w:pPr>
      <w:r>
        <w:rPr>
          <w:rStyle w:val="a3"/>
        </w:rPr>
        <w:t>Коммерческий банк и предприятие, партнерские отношения.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</w:pPr>
      <w:r>
        <w:rPr>
          <w:rStyle w:val="a3"/>
        </w:rPr>
        <w:t>Принципы взаимоотношений коммерческих банков с клиентами.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Банковская тайна.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Коммерческий банк и Центральный банк, их взаимоотношения.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Роль капитала в деятельности коммерческого банка, его функции.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Способы наращивания уставного капитала и в целом капитала банка.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Достаточность капитала, критерии оценки.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 xml:space="preserve">Зарубежный </w:t>
      </w:r>
      <w:r>
        <w:rPr>
          <w:rStyle w:val="a3"/>
        </w:rPr>
        <w:t>опыт оценки финансовых результатов деятельности банка.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Банковская маржа – основной источник прибыли банка.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Основные резервы роста прибыли банка.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Система налогообложения коммерческих банков.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Распределение и использование прибыли банка.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 xml:space="preserve">Платежеспособность и </w:t>
      </w:r>
      <w:r>
        <w:rPr>
          <w:rStyle w:val="a3"/>
        </w:rPr>
        <w:t>ликвидность – сходства и различия в понятиях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Внешние и внутренние признаки неплатежеспособности банка.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Необходимость и проблемы управления банковской ликвидностью.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 xml:space="preserve">Внутреннее регулирование ликвидности,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ее обеспечением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184"/>
        </w:tabs>
        <w:ind w:firstLine="720"/>
        <w:jc w:val="both"/>
      </w:pPr>
      <w:r>
        <w:rPr>
          <w:rStyle w:val="a3"/>
        </w:rPr>
        <w:t>Проблема противоречия межд</w:t>
      </w:r>
      <w:r>
        <w:rPr>
          <w:rStyle w:val="a3"/>
        </w:rPr>
        <w:t>у ликвидностью и доходностью банковских операций, пути ее решения.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189"/>
        </w:tabs>
        <w:ind w:firstLine="720"/>
        <w:jc w:val="both"/>
      </w:pPr>
      <w:r>
        <w:rPr>
          <w:rStyle w:val="a3"/>
        </w:rPr>
        <w:t>Зарубежные и отечественные методы оценки финансовой устойчивости банков, направления совершенствования.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184"/>
        </w:tabs>
        <w:ind w:firstLine="720"/>
        <w:jc w:val="both"/>
      </w:pPr>
      <w:r>
        <w:rPr>
          <w:rStyle w:val="a3"/>
        </w:rPr>
        <w:t>Рейтинги надежности коммерческих банков, их назначение и методы составления.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Основные</w:t>
      </w:r>
      <w:r>
        <w:rPr>
          <w:rStyle w:val="a3"/>
        </w:rPr>
        <w:t xml:space="preserve"> причины банковских банкротств.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rPr>
          <w:rStyle w:val="a3"/>
        </w:rPr>
        <w:t>Методы санации и оздоровления проблемных банков.</w:t>
      </w:r>
    </w:p>
    <w:p w:rsidR="00BA45DF" w:rsidRDefault="00F84A95">
      <w:pPr>
        <w:pStyle w:val="1"/>
        <w:numPr>
          <w:ilvl w:val="0"/>
          <w:numId w:val="2"/>
        </w:numPr>
        <w:tabs>
          <w:tab w:val="left" w:pos="1194"/>
        </w:tabs>
        <w:spacing w:after="140"/>
        <w:ind w:firstLine="720"/>
        <w:jc w:val="both"/>
      </w:pPr>
      <w:r>
        <w:rPr>
          <w:rStyle w:val="a3"/>
        </w:rPr>
        <w:t>Источники формирования ресурсной базы банка, их оценка с позиции ликвидности и доходности</w:t>
      </w:r>
    </w:p>
    <w:p w:rsidR="00BA45DF" w:rsidRDefault="00F84A95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</w:t>
      </w:r>
      <w:r>
        <w:rPr>
          <w:rStyle w:val="a3"/>
        </w:rPr>
        <w:t xml:space="preserve">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BA45DF" w:rsidRDefault="00F84A95">
      <w:pPr>
        <w:pStyle w:val="1"/>
        <w:ind w:firstLine="820"/>
        <w:jc w:val="both"/>
      </w:pPr>
      <w:r>
        <w:rPr>
          <w:rStyle w:val="a3"/>
        </w:rPr>
        <w:lastRenderedPageBreak/>
        <w:t>При оценивании учитывается:</w:t>
      </w:r>
    </w:p>
    <w:p w:rsidR="00BA45DF" w:rsidRDefault="00F84A95">
      <w:pPr>
        <w:pStyle w:val="1"/>
        <w:numPr>
          <w:ilvl w:val="0"/>
          <w:numId w:val="5"/>
        </w:numPr>
        <w:tabs>
          <w:tab w:val="left" w:pos="115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BA45DF" w:rsidRDefault="00F84A95">
      <w:pPr>
        <w:pStyle w:val="1"/>
        <w:numPr>
          <w:ilvl w:val="0"/>
          <w:numId w:val="5"/>
        </w:numPr>
        <w:tabs>
          <w:tab w:val="left" w:pos="1178"/>
        </w:tabs>
        <w:ind w:firstLine="820"/>
        <w:jc w:val="both"/>
      </w:pPr>
      <w:r>
        <w:rPr>
          <w:rStyle w:val="a3"/>
        </w:rPr>
        <w:t>В ответе приводятся примеры из практик</w:t>
      </w:r>
      <w:r>
        <w:rPr>
          <w:rStyle w:val="a3"/>
        </w:rPr>
        <w:t>и, даты, Ф.И.О. авторов.</w:t>
      </w:r>
    </w:p>
    <w:p w:rsidR="00BA45DF" w:rsidRDefault="00F84A95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BA45DF" w:rsidRDefault="00F84A95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BA45DF" w:rsidRDefault="00F84A95">
      <w:pPr>
        <w:pStyle w:val="1"/>
        <w:numPr>
          <w:ilvl w:val="0"/>
          <w:numId w:val="6"/>
        </w:numPr>
        <w:tabs>
          <w:tab w:val="left" w:pos="115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BA45DF" w:rsidRDefault="00F84A95">
      <w:pPr>
        <w:pStyle w:val="1"/>
        <w:numPr>
          <w:ilvl w:val="0"/>
          <w:numId w:val="6"/>
        </w:numPr>
        <w:tabs>
          <w:tab w:val="left" w:pos="1183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BA45DF" w:rsidRDefault="00F84A95">
      <w:pPr>
        <w:pStyle w:val="1"/>
        <w:numPr>
          <w:ilvl w:val="0"/>
          <w:numId w:val="6"/>
        </w:numPr>
        <w:tabs>
          <w:tab w:val="left" w:pos="117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BA45DF" w:rsidRDefault="00F84A95">
      <w:pPr>
        <w:pStyle w:val="1"/>
        <w:numPr>
          <w:ilvl w:val="0"/>
          <w:numId w:val="6"/>
        </w:numPr>
        <w:tabs>
          <w:tab w:val="left" w:pos="117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BA45D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5DF" w:rsidRDefault="00F84A95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BA45DF" w:rsidRDefault="00BA45DF">
      <w:pPr>
        <w:spacing w:after="259" w:line="1" w:lineRule="exact"/>
      </w:pPr>
    </w:p>
    <w:p w:rsidR="00BA45DF" w:rsidRDefault="00F84A95">
      <w:pPr>
        <w:pStyle w:val="20"/>
        <w:keepNext/>
        <w:keepLines/>
        <w:numPr>
          <w:ilvl w:val="0"/>
          <w:numId w:val="6"/>
        </w:numPr>
        <w:tabs>
          <w:tab w:val="left" w:pos="1188"/>
        </w:tabs>
        <w:ind w:firstLine="820"/>
        <w:jc w:val="both"/>
      </w:pPr>
      <w:bookmarkStart w:id="4" w:name="bookmark10"/>
      <w:r>
        <w:rPr>
          <w:rStyle w:val="2"/>
          <w:b/>
          <w:bCs/>
        </w:rPr>
        <w:t xml:space="preserve">Форма и </w:t>
      </w:r>
      <w:r>
        <w:rPr>
          <w:rStyle w:val="2"/>
          <w:b/>
          <w:bCs/>
        </w:rPr>
        <w:t>средства (методы) проведения промежуточной аттестации</w:t>
      </w:r>
      <w:bookmarkEnd w:id="4"/>
    </w:p>
    <w:p w:rsidR="00BA45DF" w:rsidRDefault="00F84A95">
      <w:pPr>
        <w:pStyle w:val="1"/>
        <w:numPr>
          <w:ilvl w:val="1"/>
          <w:numId w:val="6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BA45DF" w:rsidRDefault="00F84A95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BA45DF" w:rsidRDefault="00F84A95">
      <w:pPr>
        <w:pStyle w:val="1"/>
        <w:spacing w:after="260"/>
        <w:ind w:firstLine="82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</w:t>
      </w:r>
      <w:r>
        <w:rPr>
          <w:rStyle w:val="a3"/>
        </w:rPr>
        <w:t>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BA45DF" w:rsidRDefault="00F84A95">
      <w:pPr>
        <w:pStyle w:val="20"/>
        <w:keepNext/>
        <w:keepLines/>
        <w:numPr>
          <w:ilvl w:val="1"/>
          <w:numId w:val="6"/>
        </w:numPr>
        <w:tabs>
          <w:tab w:val="left" w:pos="1366"/>
        </w:tabs>
        <w:ind w:firstLine="820"/>
        <w:jc w:val="both"/>
      </w:pPr>
      <w:bookmarkStart w:id="5" w:name="bookmark12"/>
      <w:r>
        <w:rPr>
          <w:rStyle w:val="2"/>
          <w:b/>
          <w:bCs/>
        </w:rPr>
        <w:t>Типовые оценочные средства</w:t>
      </w:r>
      <w:bookmarkEnd w:id="5"/>
    </w:p>
    <w:p w:rsidR="00BA45DF" w:rsidRDefault="00F84A95">
      <w:pPr>
        <w:pStyle w:val="20"/>
        <w:keepNext/>
        <w:keepLines/>
        <w:ind w:firstLine="820"/>
        <w:jc w:val="both"/>
      </w:pPr>
      <w:r>
        <w:rPr>
          <w:rStyle w:val="2"/>
          <w:b/>
          <w:bCs/>
        </w:rPr>
        <w:t>Вопросы к зачету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154"/>
        </w:tabs>
        <w:ind w:firstLine="820"/>
        <w:jc w:val="both"/>
      </w:pPr>
      <w:r>
        <w:rPr>
          <w:rStyle w:val="a3"/>
        </w:rPr>
        <w:t xml:space="preserve">Инструменты и методы привлечения средств на </w:t>
      </w:r>
      <w:r>
        <w:rPr>
          <w:rStyle w:val="a3"/>
        </w:rPr>
        <w:t>банковские депозитные счета.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178"/>
        </w:tabs>
        <w:ind w:firstLine="820"/>
        <w:jc w:val="both"/>
      </w:pPr>
      <w:r>
        <w:rPr>
          <w:rStyle w:val="a3"/>
        </w:rPr>
        <w:t>Способы оценки качества ресурсной (депозитной) базы банка.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174"/>
        </w:tabs>
        <w:ind w:firstLine="820"/>
        <w:jc w:val="both"/>
      </w:pPr>
      <w:r>
        <w:rPr>
          <w:rStyle w:val="a3"/>
        </w:rPr>
        <w:t>Пути наращивания кредитного потенциала банка.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075"/>
        </w:tabs>
        <w:ind w:firstLine="820"/>
        <w:jc w:val="both"/>
      </w:pPr>
      <w:r>
        <w:rPr>
          <w:rStyle w:val="a3"/>
        </w:rPr>
        <w:t xml:space="preserve">Направления </w:t>
      </w:r>
      <w:proofErr w:type="gramStart"/>
      <w:r>
        <w:rPr>
          <w:rStyle w:val="a3"/>
        </w:rPr>
        <w:t>совершенствования действующей системы страхования вкладов физических лиц</w:t>
      </w:r>
      <w:proofErr w:type="gramEnd"/>
      <w:r>
        <w:rPr>
          <w:rStyle w:val="a3"/>
        </w:rPr>
        <w:t xml:space="preserve"> в банках РФ.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169"/>
        </w:tabs>
        <w:ind w:firstLine="820"/>
        <w:jc w:val="both"/>
      </w:pPr>
      <w:r>
        <w:rPr>
          <w:rStyle w:val="a3"/>
        </w:rPr>
        <w:t>Критерии оценки качества</w:t>
      </w:r>
      <w:r>
        <w:rPr>
          <w:rStyle w:val="a3"/>
        </w:rPr>
        <w:t xml:space="preserve"> активов банка.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174"/>
        </w:tabs>
        <w:ind w:firstLine="820"/>
        <w:jc w:val="both"/>
      </w:pPr>
      <w:r>
        <w:rPr>
          <w:rStyle w:val="a3"/>
        </w:rPr>
        <w:t>Методы управления активами банка.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174"/>
        </w:tabs>
        <w:ind w:firstLine="820"/>
        <w:jc w:val="both"/>
      </w:pPr>
      <w:r>
        <w:rPr>
          <w:rStyle w:val="a3"/>
        </w:rPr>
        <w:t>Формирование кредитного портфеля банка, оценка его качества.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169"/>
        </w:tabs>
        <w:ind w:firstLine="820"/>
        <w:jc w:val="both"/>
      </w:pPr>
      <w:r>
        <w:rPr>
          <w:rStyle w:val="a3"/>
        </w:rPr>
        <w:t>Формирование портфеля ценных бумаг, управление им.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174"/>
        </w:tabs>
        <w:ind w:firstLine="820"/>
        <w:jc w:val="both"/>
      </w:pPr>
      <w:r>
        <w:rPr>
          <w:rStyle w:val="a3"/>
        </w:rPr>
        <w:t>Особенности современной системы кредитования.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74"/>
        </w:tabs>
        <w:ind w:firstLine="820"/>
        <w:jc w:val="both"/>
      </w:pPr>
      <w:r>
        <w:rPr>
          <w:rStyle w:val="a3"/>
        </w:rPr>
        <w:t>Основные элементы системы кредитования.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189"/>
        </w:tabs>
        <w:ind w:firstLine="820"/>
        <w:jc w:val="both"/>
      </w:pPr>
      <w:r>
        <w:rPr>
          <w:rStyle w:val="a3"/>
        </w:rPr>
        <w:t>Основные</w:t>
      </w:r>
      <w:r>
        <w:rPr>
          <w:rStyle w:val="a3"/>
        </w:rPr>
        <w:t xml:space="preserve"> проблемы и направления совершенствования системы кредитования на современном этапе.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74"/>
        </w:tabs>
        <w:ind w:firstLine="820"/>
        <w:jc w:val="both"/>
      </w:pPr>
      <w:r>
        <w:rPr>
          <w:rStyle w:val="a3"/>
        </w:rPr>
        <w:t>Принципы и методы кредитования, их развитие в рыночной экономике.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74"/>
        </w:tabs>
        <w:ind w:firstLine="820"/>
        <w:jc w:val="both"/>
      </w:pPr>
      <w:r>
        <w:rPr>
          <w:rStyle w:val="a3"/>
        </w:rPr>
        <w:t>Разработка стратегии кредитных отношений.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74"/>
        </w:tabs>
        <w:ind w:firstLine="820"/>
        <w:jc w:val="both"/>
      </w:pPr>
      <w:r>
        <w:rPr>
          <w:rStyle w:val="a3"/>
        </w:rPr>
        <w:t>Кредитная политика банка, факторы ее определяющие.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74"/>
        </w:tabs>
        <w:ind w:firstLine="820"/>
        <w:jc w:val="both"/>
      </w:pPr>
      <w:r>
        <w:rPr>
          <w:rStyle w:val="a3"/>
        </w:rPr>
        <w:t>Кредитный по</w:t>
      </w:r>
      <w:r>
        <w:rPr>
          <w:rStyle w:val="a3"/>
        </w:rPr>
        <w:t>тенциал банка.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74"/>
        </w:tabs>
        <w:ind w:firstLine="820"/>
        <w:jc w:val="both"/>
      </w:pPr>
      <w:r>
        <w:rPr>
          <w:rStyle w:val="a3"/>
        </w:rPr>
        <w:t>Кредитный процесс в коммерческом банке, направления совершенствования.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74"/>
        </w:tabs>
        <w:ind w:firstLine="820"/>
        <w:jc w:val="both"/>
      </w:pPr>
      <w:r>
        <w:rPr>
          <w:rStyle w:val="a3"/>
        </w:rPr>
        <w:t>Кредитный договор – основа взаимоотношений банка и заемщика.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189"/>
        </w:tabs>
        <w:ind w:firstLine="820"/>
        <w:jc w:val="both"/>
      </w:pPr>
      <w:r>
        <w:rPr>
          <w:rStyle w:val="a3"/>
        </w:rPr>
        <w:t>Дифференциация условий кредитования в зависимости от объекта и субъекта кредитования.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74"/>
        </w:tabs>
        <w:ind w:firstLine="820"/>
        <w:jc w:val="both"/>
      </w:pPr>
      <w:r>
        <w:rPr>
          <w:rStyle w:val="a3"/>
        </w:rPr>
        <w:t xml:space="preserve">Кредитование </w:t>
      </w:r>
      <w:r>
        <w:rPr>
          <w:rStyle w:val="a3"/>
        </w:rPr>
        <w:t>юридических лиц, отраслевые особенности.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8"/>
        </w:tabs>
        <w:spacing w:after="260"/>
        <w:ind w:firstLine="820"/>
      </w:pPr>
      <w:r>
        <w:rPr>
          <w:rStyle w:val="a3"/>
        </w:rPr>
        <w:t>Основные проблемы современного рынка потребительских кредитов.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8"/>
        </w:tabs>
        <w:ind w:firstLine="820"/>
        <w:jc w:val="both"/>
      </w:pPr>
      <w:r>
        <w:rPr>
          <w:rStyle w:val="a3"/>
        </w:rPr>
        <w:t>Кредитное поведение заемщиков - физических лиц.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8"/>
        </w:tabs>
        <w:ind w:firstLine="820"/>
        <w:jc w:val="both"/>
      </w:pPr>
      <w:r>
        <w:rPr>
          <w:rStyle w:val="a3"/>
        </w:rPr>
        <w:t>Кредитные линии, плюсы и минусы.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8"/>
        </w:tabs>
        <w:ind w:firstLine="820"/>
        <w:jc w:val="both"/>
      </w:pPr>
      <w:r>
        <w:rPr>
          <w:rStyle w:val="a3"/>
        </w:rPr>
        <w:t>Экономические основы возвратности банковских кредитов.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8"/>
        </w:tabs>
        <w:ind w:firstLine="820"/>
        <w:jc w:val="both"/>
      </w:pPr>
      <w:r>
        <w:rPr>
          <w:rStyle w:val="a3"/>
        </w:rPr>
        <w:lastRenderedPageBreak/>
        <w:t>Первичные и втор</w:t>
      </w:r>
      <w:r>
        <w:rPr>
          <w:rStyle w:val="a3"/>
        </w:rPr>
        <w:t>ичные источники погашения банковских ссуд.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8"/>
        </w:tabs>
        <w:ind w:firstLine="820"/>
        <w:jc w:val="both"/>
      </w:pPr>
      <w:r>
        <w:rPr>
          <w:rStyle w:val="a3"/>
        </w:rPr>
        <w:t>Характеристика залогового механизма и критерии оценки качества залога.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Банковская гарантия и поручительство как формы обеспечения возвратности кредита, сходства и </w:t>
      </w:r>
      <w:proofErr w:type="gramStart"/>
      <w:r>
        <w:rPr>
          <w:rStyle w:val="a3"/>
        </w:rPr>
        <w:t>раз-личия</w:t>
      </w:r>
      <w:proofErr w:type="gramEnd"/>
      <w:r>
        <w:rPr>
          <w:rStyle w:val="a3"/>
        </w:rPr>
        <w:t>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8"/>
        </w:tabs>
        <w:ind w:firstLine="820"/>
        <w:jc w:val="both"/>
      </w:pPr>
      <w:r>
        <w:rPr>
          <w:rStyle w:val="a3"/>
        </w:rPr>
        <w:t xml:space="preserve">Критерии </w:t>
      </w:r>
      <w:proofErr w:type="gramStart"/>
      <w:r>
        <w:rPr>
          <w:rStyle w:val="a3"/>
        </w:rPr>
        <w:t>выбора форм обеспечения возвра</w:t>
      </w:r>
      <w:r>
        <w:rPr>
          <w:rStyle w:val="a3"/>
        </w:rPr>
        <w:t>тности кредита</w:t>
      </w:r>
      <w:proofErr w:type="gramEnd"/>
      <w:r>
        <w:rPr>
          <w:rStyle w:val="a3"/>
        </w:rPr>
        <w:t>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189"/>
        </w:tabs>
        <w:ind w:firstLine="820"/>
        <w:jc w:val="both"/>
      </w:pPr>
      <w:r>
        <w:rPr>
          <w:rStyle w:val="a3"/>
        </w:rPr>
        <w:t>Особенности механизмов обеспечения возвратности кредитов, используемые зарубежными банками.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8"/>
        </w:tabs>
        <w:ind w:firstLine="820"/>
        <w:jc w:val="both"/>
      </w:pPr>
      <w:r>
        <w:rPr>
          <w:rStyle w:val="a3"/>
        </w:rPr>
        <w:t xml:space="preserve">Рынок </w:t>
      </w:r>
      <w:proofErr w:type="gramStart"/>
      <w:r>
        <w:rPr>
          <w:rStyle w:val="a3"/>
        </w:rPr>
        <w:t>кредитных</w:t>
      </w:r>
      <w:proofErr w:type="gramEnd"/>
      <w:r>
        <w:rPr>
          <w:rStyle w:val="a3"/>
        </w:rPr>
        <w:t xml:space="preserve"> деривативов.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4"/>
        </w:tabs>
        <w:ind w:firstLine="820"/>
        <w:jc w:val="both"/>
      </w:pPr>
      <w:r>
        <w:rPr>
          <w:rStyle w:val="a3"/>
        </w:rPr>
        <w:t>Необходимость и цели изучения кредитоспособности заемщиков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4"/>
        </w:tabs>
        <w:ind w:firstLine="820"/>
        <w:jc w:val="both"/>
      </w:pPr>
      <w:r>
        <w:rPr>
          <w:rStyle w:val="a3"/>
        </w:rPr>
        <w:t>Критерии оценки кредитоспособности потенциальных заемщиков б</w:t>
      </w:r>
      <w:r>
        <w:rPr>
          <w:rStyle w:val="a3"/>
        </w:rPr>
        <w:t>анка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4"/>
        </w:tabs>
        <w:ind w:firstLine="820"/>
        <w:jc w:val="both"/>
      </w:pPr>
      <w:r>
        <w:rPr>
          <w:rStyle w:val="a3"/>
        </w:rPr>
        <w:t>Методы оценки кредитоспособности заемщиков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4"/>
        </w:tabs>
        <w:ind w:firstLine="820"/>
        <w:jc w:val="both"/>
      </w:pPr>
      <w:r>
        <w:rPr>
          <w:rStyle w:val="a3"/>
        </w:rPr>
        <w:t>Нетрадиционные методы оценки кредитоспособности заемщиков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189"/>
        </w:tabs>
        <w:ind w:firstLine="820"/>
        <w:jc w:val="both"/>
      </w:pPr>
      <w:r>
        <w:rPr>
          <w:rStyle w:val="a3"/>
        </w:rPr>
        <w:t>Комплексная оценка кредитоспособности, определение кредитного рейтинга заемщика.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4"/>
        </w:tabs>
        <w:ind w:firstLine="820"/>
        <w:jc w:val="both"/>
      </w:pPr>
      <w:r>
        <w:rPr>
          <w:rStyle w:val="a3"/>
        </w:rPr>
        <w:t>Проблемы оценки кредитоспособности субъектов малого бизнеса.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4"/>
        </w:tabs>
        <w:ind w:firstLine="820"/>
        <w:jc w:val="both"/>
      </w:pPr>
      <w:r>
        <w:rPr>
          <w:rStyle w:val="a3"/>
        </w:rPr>
        <w:t>Особенно</w:t>
      </w:r>
      <w:r>
        <w:rPr>
          <w:rStyle w:val="a3"/>
        </w:rPr>
        <w:t>сти анализа кредитоспособности заемщиков - физических лиц.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4"/>
        </w:tabs>
        <w:ind w:firstLine="820"/>
        <w:jc w:val="both"/>
      </w:pPr>
      <w:r>
        <w:rPr>
          <w:rStyle w:val="a3"/>
        </w:rPr>
        <w:t>Основные формы и виды межбанковских расчетов, достоинства и недостатки.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4"/>
        </w:tabs>
        <w:ind w:firstLine="820"/>
        <w:jc w:val="both"/>
      </w:pPr>
      <w:r>
        <w:rPr>
          <w:rStyle w:val="a3"/>
        </w:rPr>
        <w:t>Эволюция межбанковских расчетов.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4"/>
        </w:tabs>
        <w:ind w:firstLine="820"/>
      </w:pPr>
      <w:r>
        <w:rPr>
          <w:rStyle w:val="a3"/>
        </w:rPr>
        <w:t>Основные направления совершенствования межбанковских расчетов</w:t>
      </w:r>
    </w:p>
    <w:p w:rsidR="00BA45DF" w:rsidRDefault="00F84A95">
      <w:pPr>
        <w:pStyle w:val="1"/>
        <w:numPr>
          <w:ilvl w:val="0"/>
          <w:numId w:val="7"/>
        </w:numPr>
        <w:tabs>
          <w:tab w:val="left" w:pos="1298"/>
        </w:tabs>
        <w:spacing w:after="260"/>
        <w:ind w:firstLine="820"/>
        <w:jc w:val="both"/>
      </w:pPr>
      <w:r>
        <w:rPr>
          <w:rStyle w:val="a3"/>
        </w:rPr>
        <w:t>Межбанковский клиринг.</w:t>
      </w:r>
    </w:p>
    <w:p w:rsidR="00BA45DF" w:rsidRDefault="00F84A95">
      <w:pPr>
        <w:pStyle w:val="1"/>
        <w:ind w:left="122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BA45DF" w:rsidRDefault="00F84A95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5E5C95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BA45D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национальной системе </w:t>
            </w:r>
            <w:r>
              <w:rPr>
                <w:rStyle w:val="a6"/>
                <w:b/>
                <w:bCs/>
              </w:rPr>
              <w:t>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5DF" w:rsidRDefault="00BA45D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5DF" w:rsidRDefault="00BA45D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5DF" w:rsidRDefault="00BA45D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5DF" w:rsidRDefault="00BA45D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BA45D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5DF" w:rsidRDefault="00BA45D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DF" w:rsidRDefault="00F84A9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BA45DF" w:rsidRDefault="00BA45DF">
      <w:pPr>
        <w:spacing w:after="259" w:line="1" w:lineRule="exact"/>
      </w:pPr>
    </w:p>
    <w:p w:rsidR="00BA45DF" w:rsidRDefault="00F84A95">
      <w:pPr>
        <w:pStyle w:val="1"/>
        <w:numPr>
          <w:ilvl w:val="0"/>
          <w:numId w:val="6"/>
        </w:numPr>
        <w:tabs>
          <w:tab w:val="left" w:pos="1112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деятельности и самостоятельной работы на </w:t>
      </w:r>
      <w:r>
        <w:rPr>
          <w:rStyle w:val="a3"/>
        </w:rPr>
        <w:t>практических занятиях.</w:t>
      </w:r>
    </w:p>
    <w:p w:rsidR="00BA45DF" w:rsidRDefault="00F84A95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</w:t>
      </w:r>
      <w:r>
        <w:rPr>
          <w:rStyle w:val="a3"/>
        </w:rPr>
        <w:t xml:space="preserve">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BA45DF" w:rsidRDefault="00F84A95">
      <w:pPr>
        <w:pStyle w:val="1"/>
        <w:spacing w:after="260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BA45DF" w:rsidRDefault="00F84A95">
      <w:pPr>
        <w:pStyle w:val="1"/>
        <w:numPr>
          <w:ilvl w:val="0"/>
          <w:numId w:val="8"/>
        </w:numPr>
        <w:tabs>
          <w:tab w:val="left" w:pos="994"/>
        </w:tabs>
        <w:ind w:firstLine="720"/>
        <w:jc w:val="both"/>
      </w:pPr>
      <w:r>
        <w:rPr>
          <w:rStyle w:val="a3"/>
        </w:rPr>
        <w:t>консультирова</w:t>
      </w:r>
      <w:r>
        <w:rPr>
          <w:rStyle w:val="a3"/>
        </w:rPr>
        <w:t>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BA45DF" w:rsidRDefault="00F84A95">
      <w:pPr>
        <w:pStyle w:val="1"/>
        <w:numPr>
          <w:ilvl w:val="0"/>
          <w:numId w:val="8"/>
        </w:numPr>
        <w:tabs>
          <w:tab w:val="left" w:pos="994"/>
        </w:tabs>
        <w:ind w:firstLine="720"/>
        <w:jc w:val="both"/>
      </w:pPr>
      <w:r>
        <w:rPr>
          <w:rStyle w:val="a3"/>
        </w:rPr>
        <w:t xml:space="preserve">самостоятельное выполнение практических заданий согласно обозначенной </w:t>
      </w:r>
      <w:r>
        <w:rPr>
          <w:rStyle w:val="a3"/>
        </w:rPr>
        <w:lastRenderedPageBreak/>
        <w:t>учеб</w:t>
      </w:r>
      <w:r>
        <w:rPr>
          <w:rStyle w:val="a3"/>
        </w:rPr>
        <w:t>ной программой тематики;</w:t>
      </w:r>
    </w:p>
    <w:p w:rsidR="00BA45DF" w:rsidRDefault="00F84A95">
      <w:pPr>
        <w:pStyle w:val="1"/>
        <w:numPr>
          <w:ilvl w:val="0"/>
          <w:numId w:val="8"/>
        </w:numPr>
        <w:tabs>
          <w:tab w:val="left" w:pos="994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BA45DF" w:rsidRDefault="00F84A95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самостоятельно или под руководством преподавателя (в зависимости от степени сложности поставленных задач).</w:t>
      </w:r>
    </w:p>
    <w:p w:rsidR="00BA45DF" w:rsidRDefault="00F84A95">
      <w:pPr>
        <w:pStyle w:val="20"/>
        <w:keepNext/>
        <w:keepLines/>
        <w:numPr>
          <w:ilvl w:val="0"/>
          <w:numId w:val="9"/>
        </w:numPr>
        <w:tabs>
          <w:tab w:val="left" w:pos="1032"/>
        </w:tabs>
        <w:ind w:firstLine="720"/>
        <w:jc w:val="both"/>
      </w:pPr>
      <w:bookmarkStart w:id="6" w:name="bookmark15"/>
      <w:r>
        <w:rPr>
          <w:rStyle w:val="2"/>
          <w:b/>
          <w:bCs/>
        </w:rPr>
        <w:t>Курсовые проекты (работы)</w:t>
      </w:r>
      <w:bookmarkEnd w:id="6"/>
    </w:p>
    <w:p w:rsidR="00BA45DF" w:rsidRDefault="00F84A95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BA45DF" w:rsidRDefault="00F84A95">
      <w:pPr>
        <w:pStyle w:val="20"/>
        <w:keepNext/>
        <w:keepLines/>
        <w:numPr>
          <w:ilvl w:val="0"/>
          <w:numId w:val="9"/>
        </w:numPr>
        <w:tabs>
          <w:tab w:val="left" w:pos="1022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Оценка компетенций (в целом)</w:t>
      </w:r>
      <w:bookmarkEnd w:id="7"/>
    </w:p>
    <w:p w:rsidR="00BA45DF" w:rsidRDefault="00F84A95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</w:t>
      </w:r>
      <w:r>
        <w:rPr>
          <w:rStyle w:val="a3"/>
        </w:rPr>
        <w:t>зультатов обучающегося и промежуточной аттестации.</w:t>
      </w:r>
    </w:p>
    <w:p w:rsidR="00BA45DF" w:rsidRDefault="00F84A95">
      <w:pPr>
        <w:pStyle w:val="1"/>
        <w:spacing w:after="1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</w:t>
      </w:r>
      <w:r>
        <w:rPr>
          <w:rStyle w:val="a3"/>
        </w:rPr>
        <w:t>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BA45DF">
      <w:pgSz w:w="11900" w:h="16840"/>
      <w:pgMar w:top="1124" w:right="798" w:bottom="1068" w:left="1604" w:header="696" w:footer="6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95" w:rsidRDefault="00F84A95">
      <w:r>
        <w:separator/>
      </w:r>
    </w:p>
  </w:endnote>
  <w:endnote w:type="continuationSeparator" w:id="0">
    <w:p w:rsidR="00F84A95" w:rsidRDefault="00F8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95" w:rsidRDefault="00F84A95"/>
  </w:footnote>
  <w:footnote w:type="continuationSeparator" w:id="0">
    <w:p w:rsidR="00F84A95" w:rsidRDefault="00F84A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3D32"/>
    <w:multiLevelType w:val="multilevel"/>
    <w:tmpl w:val="CEC4B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83558"/>
    <w:multiLevelType w:val="multilevel"/>
    <w:tmpl w:val="6D0CFE1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0E4435"/>
    <w:multiLevelType w:val="multilevel"/>
    <w:tmpl w:val="B01CAD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14EC3"/>
    <w:multiLevelType w:val="multilevel"/>
    <w:tmpl w:val="C51C76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35BC7"/>
    <w:multiLevelType w:val="multilevel"/>
    <w:tmpl w:val="6F9AC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9F590B"/>
    <w:multiLevelType w:val="multilevel"/>
    <w:tmpl w:val="9DE00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547605"/>
    <w:multiLevelType w:val="multilevel"/>
    <w:tmpl w:val="E65CFE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B33F0B"/>
    <w:multiLevelType w:val="multilevel"/>
    <w:tmpl w:val="8D9C07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CA0573"/>
    <w:multiLevelType w:val="multilevel"/>
    <w:tmpl w:val="7A36D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A45DF"/>
    <w:rsid w:val="005E5C95"/>
    <w:rsid w:val="00BA45DF"/>
    <w:rsid w:val="00F8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2846</Words>
  <Characters>16225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2025-01-28T12:32:00Z</dcterms:created>
  <dcterms:modified xsi:type="dcterms:W3CDTF">2025-01-28T12:32:00Z</dcterms:modified>
</cp:coreProperties>
</file>